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2BB492" w14:textId="06C1B8BB" w:rsidR="008D5DD5" w:rsidRPr="002B1794" w:rsidRDefault="008D5DD5" w:rsidP="008D5DD5">
      <w:pPr>
        <w:pStyle w:val="3GPPHeader"/>
        <w:rPr>
          <w:lang w:val="en-US"/>
        </w:rPr>
      </w:pPr>
      <w:r w:rsidRPr="002B1794">
        <w:rPr>
          <w:lang w:val="en-US"/>
        </w:rPr>
        <w:t>3GPP TSG RAN WG1 Meeting RAN1#96</w:t>
      </w:r>
      <w:r>
        <w:rPr>
          <w:lang w:val="en-US"/>
        </w:rPr>
        <w:t>-bis</w:t>
      </w:r>
      <w:r w:rsidRPr="002B1794">
        <w:rPr>
          <w:lang w:val="en-US"/>
        </w:rPr>
        <w:tab/>
      </w:r>
      <w:r w:rsidR="00860CEA" w:rsidRPr="00860CEA">
        <w:rPr>
          <w:i/>
          <w:lang w:val="en-US"/>
        </w:rPr>
        <w:t>R1-190511</w:t>
      </w:r>
      <w:r w:rsidR="002E66DD">
        <w:rPr>
          <w:i/>
          <w:lang w:val="en-US"/>
        </w:rPr>
        <w:t>2</w:t>
      </w:r>
    </w:p>
    <w:p w14:paraId="7CBB3D85" w14:textId="77777777" w:rsidR="008D5DD5" w:rsidRPr="002B1794" w:rsidRDefault="008D5DD5" w:rsidP="008D5DD5">
      <w:pPr>
        <w:pStyle w:val="3GPPHeader"/>
        <w:rPr>
          <w:rFonts w:eastAsiaTheme="minorHAnsi" w:cstheme="minorBidi"/>
          <w:sz w:val="22"/>
          <w:szCs w:val="22"/>
          <w:lang w:val="en-US"/>
        </w:rPr>
      </w:pPr>
      <w:r>
        <w:rPr>
          <w:lang w:val="en-US"/>
        </w:rPr>
        <w:t>Xi’an</w:t>
      </w:r>
      <w:r w:rsidRPr="0051599E">
        <w:rPr>
          <w:lang w:val="en-US"/>
        </w:rPr>
        <w:t xml:space="preserve">, </w:t>
      </w:r>
      <w:r>
        <w:rPr>
          <w:lang w:val="en-US"/>
        </w:rPr>
        <w:t>China</w:t>
      </w:r>
      <w:r w:rsidRPr="0051599E">
        <w:rPr>
          <w:lang w:val="en-US"/>
        </w:rPr>
        <w:t xml:space="preserve">, </w:t>
      </w:r>
      <w:r>
        <w:rPr>
          <w:lang w:val="en-US"/>
        </w:rPr>
        <w:t>April</w:t>
      </w:r>
      <w:r w:rsidRPr="0051599E">
        <w:rPr>
          <w:lang w:val="en-US"/>
        </w:rPr>
        <w:t xml:space="preserve"> </w:t>
      </w:r>
      <w:r>
        <w:rPr>
          <w:lang w:val="en-US"/>
        </w:rPr>
        <w:t>8</w:t>
      </w:r>
      <w:r w:rsidRPr="0051599E">
        <w:rPr>
          <w:vertAlign w:val="superscript"/>
          <w:lang w:val="en-US"/>
        </w:rPr>
        <w:t>th</w:t>
      </w:r>
      <w:r w:rsidRPr="0051599E">
        <w:rPr>
          <w:lang w:val="en-US"/>
        </w:rPr>
        <w:t xml:space="preserve"> – </w:t>
      </w:r>
      <w:r>
        <w:rPr>
          <w:lang w:val="en-US"/>
        </w:rPr>
        <w:t>12</w:t>
      </w:r>
      <w:r w:rsidRPr="0051599E">
        <w:rPr>
          <w:vertAlign w:val="superscript"/>
          <w:lang w:val="en-US"/>
        </w:rPr>
        <w:t>th</w:t>
      </w:r>
      <w:r w:rsidRPr="0051599E">
        <w:rPr>
          <w:lang w:val="en-US"/>
        </w:rPr>
        <w:t>, 2019</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7644D3D6" w14:textId="759C4420" w:rsidR="003D4C25" w:rsidRDefault="00904CFD" w:rsidP="00904CFD">
      <w:pPr>
        <w:pStyle w:val="3GPPHeader"/>
      </w:pPr>
      <w:r w:rsidRPr="00327997">
        <w:t>Title:</w:t>
      </w:r>
      <w:r w:rsidRPr="00327997">
        <w:tab/>
      </w:r>
      <w:r w:rsidR="002E66DD" w:rsidRPr="002E66DD">
        <w:t>On UCI design for Type II CSI enhancements</w:t>
      </w:r>
    </w:p>
    <w:p w14:paraId="00EFAC0D" w14:textId="4617A9B3" w:rsidR="00904CFD" w:rsidRPr="00B91755" w:rsidRDefault="00904CFD" w:rsidP="00904CFD">
      <w:pPr>
        <w:pStyle w:val="3GPPHeader"/>
        <w:rPr>
          <w:lang w:val="en-US"/>
        </w:rPr>
      </w:pPr>
      <w:r w:rsidRPr="00561DAC">
        <w:rPr>
          <w:lang w:val="en-US"/>
        </w:rPr>
        <w:t>Agenda Item:</w:t>
      </w:r>
      <w:r w:rsidRPr="00561DAC">
        <w:rPr>
          <w:lang w:val="en-US"/>
        </w:rPr>
        <w:tab/>
      </w:r>
      <w:r w:rsidR="005E4B93" w:rsidRPr="00CE540B">
        <w:rPr>
          <w:lang w:val="en-US"/>
        </w:rPr>
        <w:t>7.2.8.</w:t>
      </w:r>
      <w:r w:rsidR="00596845">
        <w:rPr>
          <w:lang w:val="en-US"/>
        </w:rPr>
        <w:t>6</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E615FEB" w:rsidR="00E90E49" w:rsidRDefault="007F75D5" w:rsidP="00CE0424">
      <w:pPr>
        <w:pStyle w:val="Heading1"/>
      </w:pPr>
      <w:r>
        <w:t>Introduction</w:t>
      </w:r>
    </w:p>
    <w:p w14:paraId="78A9AD3C" w14:textId="40703E01" w:rsidR="002E66DD" w:rsidRDefault="002E66DD" w:rsidP="002E66DD">
      <w:r>
        <w:t xml:space="preserve">The UCI parameters in CSI Part 1 and CSI Part 2 needs to be </w:t>
      </w:r>
      <w:r w:rsidR="002B61BD">
        <w:t>decided. And some agreements have already been achieved:</w:t>
      </w:r>
    </w:p>
    <w:p w14:paraId="56A9C4BD" w14:textId="77777777" w:rsidR="009D55B8" w:rsidRPr="009D55B8" w:rsidRDefault="009D55B8" w:rsidP="009D55B8">
      <w:pPr>
        <w:overflowPunct/>
        <w:autoSpaceDE/>
        <w:autoSpaceDN/>
        <w:adjustRightInd/>
        <w:spacing w:after="0"/>
        <w:jc w:val="left"/>
        <w:textAlignment w:val="auto"/>
        <w:rPr>
          <w:i/>
          <w:sz w:val="22"/>
          <w:highlight w:val="green"/>
          <w:lang w:val="en-US" w:eastAsia="ko-KR"/>
        </w:rPr>
      </w:pPr>
      <w:r w:rsidRPr="009D55B8">
        <w:rPr>
          <w:b/>
          <w:sz w:val="22"/>
          <w:highlight w:val="green"/>
          <w:lang w:val="en-US" w:eastAsia="en-US"/>
        </w:rPr>
        <w:t>Agreement</w:t>
      </w:r>
    </w:p>
    <w:p w14:paraId="49ED5F60" w14:textId="77777777" w:rsidR="009D55B8" w:rsidRPr="009D55B8" w:rsidRDefault="009D55B8" w:rsidP="009D55B8">
      <w:pPr>
        <w:overflowPunct/>
        <w:autoSpaceDE/>
        <w:autoSpaceDN/>
        <w:adjustRightInd/>
        <w:spacing w:after="0"/>
        <w:jc w:val="left"/>
        <w:textAlignment w:val="auto"/>
        <w:rPr>
          <w:sz w:val="22"/>
          <w:lang w:val="en-US" w:eastAsia="en-US"/>
        </w:rPr>
      </w:pPr>
      <w:r w:rsidRPr="009D55B8">
        <w:rPr>
          <w:sz w:val="22"/>
          <w:lang w:val="en-US" w:eastAsia="en-US"/>
        </w:rPr>
        <w:t xml:space="preserve">On basis/coefficient subset selection for the first layer, support the following: </w:t>
      </w:r>
    </w:p>
    <w:p w14:paraId="3270C21D" w14:textId="38824DBA" w:rsidR="009D55B8" w:rsidRPr="009D55B8" w:rsidRDefault="009D55B8" w:rsidP="009D55B8">
      <w:pPr>
        <w:numPr>
          <w:ilvl w:val="0"/>
          <w:numId w:val="42"/>
        </w:numPr>
        <w:overflowPunct/>
        <w:autoSpaceDE/>
        <w:autoSpaceDN/>
        <w:adjustRightInd/>
        <w:spacing w:after="0"/>
        <w:jc w:val="left"/>
        <w:textAlignment w:val="auto"/>
        <w:rPr>
          <w:rFonts w:eastAsia="Malgun Gothic"/>
          <w:lang w:val="en-US" w:eastAsia="en-US"/>
        </w:rPr>
      </w:pPr>
      <w:r w:rsidRPr="009D55B8">
        <w:rPr>
          <w:rFonts w:eastAsia="Malgun Gothic"/>
          <w:lang w:val="en-US" w:eastAsia="en-US"/>
        </w:rPr>
        <w:t>Size-K</w:t>
      </w:r>
      <w:r w:rsidRPr="009D55B8">
        <w:rPr>
          <w:rFonts w:eastAsia="Malgun Gothic"/>
          <w:vertAlign w:val="subscript"/>
          <w:lang w:val="en-US" w:eastAsia="en-US"/>
        </w:rPr>
        <w:t>0</w:t>
      </w:r>
      <w:r w:rsidRPr="009D55B8">
        <w:rPr>
          <w:rFonts w:eastAsia="Malgun Gothic"/>
          <w:lang w:val="en-US" w:eastAsia="en-US"/>
        </w:rPr>
        <w:fldChar w:fldCharType="begin"/>
      </w:r>
      <w:r w:rsidRPr="009D55B8">
        <w:rPr>
          <w:rFonts w:eastAsia="Malgun Gothic"/>
          <w:lang w:val="en-US" w:eastAsia="en-US"/>
        </w:rPr>
        <w:instrText xml:space="preserve"> QUOTE </w:instrText>
      </w:r>
      <m:oMath>
        <m:sSub>
          <m:sSubPr>
            <m:ctrlPr>
              <w:rPr>
                <w:rFonts w:ascii="Cambria Math" w:eastAsia="Malgun Gothic" w:hAnsi="Cambria Math"/>
                <w:i/>
                <w:iCs/>
                <w:sz w:val="24"/>
                <w:szCs w:val="24"/>
                <w:lang w:eastAsia="en-US"/>
              </w:rPr>
            </m:ctrlPr>
          </m:sSubPr>
          <m:e>
            <m:r>
              <m:rPr>
                <m:sty m:val="p"/>
              </m:rPr>
              <w:rPr>
                <w:rFonts w:ascii="Cambria Math" w:eastAsia="Malgun Gothic" w:hAnsi="Cambria Math"/>
                <w:sz w:val="24"/>
                <w:lang w:val="en-US" w:eastAsia="en-US"/>
              </w:rPr>
              <m:t>K</m:t>
            </m:r>
          </m:e>
          <m:sub>
            <m:r>
              <m:rPr>
                <m:sty m:val="p"/>
              </m:rPr>
              <w:rPr>
                <w:rFonts w:ascii="Cambria Math" w:eastAsia="Malgun Gothic" w:hAnsi="Cambria Math"/>
                <w:sz w:val="24"/>
                <w:lang w:val="en-US" w:eastAsia="en-US"/>
              </w:rPr>
              <m:t>0</m:t>
            </m:r>
          </m:sub>
        </m:sSub>
      </m:oMath>
      <w:r w:rsidRPr="009D55B8">
        <w:rPr>
          <w:rFonts w:eastAsia="Malgun Gothic"/>
          <w:lang w:val="en-US" w:eastAsia="en-US"/>
        </w:rPr>
        <w:instrText xml:space="preserve"> </w:instrText>
      </w:r>
      <w:r w:rsidRPr="009D55B8">
        <w:rPr>
          <w:rFonts w:eastAsia="Malgun Gothic"/>
          <w:lang w:val="en-US" w:eastAsia="en-US"/>
        </w:rPr>
        <w:fldChar w:fldCharType="separate"/>
      </w:r>
      <m:oMath>
        <m:sSub>
          <m:sSubPr>
            <m:ctrlPr>
              <w:rPr>
                <w:rFonts w:ascii="Cambria Math" w:eastAsia="Malgun Gothic" w:hAnsi="Cambria Math"/>
                <w:i/>
                <w:iCs/>
                <w:sz w:val="24"/>
                <w:szCs w:val="24"/>
                <w:lang w:eastAsia="en-US"/>
              </w:rPr>
            </m:ctrlPr>
          </m:sSubPr>
          <m:e>
            <m:r>
              <m:rPr>
                <m:sty m:val="p"/>
              </m:rPr>
              <w:rPr>
                <w:rFonts w:ascii="Cambria Math" w:eastAsia="Malgun Gothic" w:hAnsi="Cambria Math"/>
                <w:sz w:val="24"/>
                <w:lang w:val="en-US" w:eastAsia="en-US"/>
              </w:rPr>
              <m:t>K</m:t>
            </m:r>
          </m:e>
          <m:sub>
            <m:r>
              <m:rPr>
                <m:sty m:val="p"/>
              </m:rPr>
              <w:rPr>
                <w:rFonts w:ascii="Cambria Math" w:eastAsia="Malgun Gothic" w:hAnsi="Cambria Math"/>
                <w:sz w:val="24"/>
                <w:lang w:val="en-US" w:eastAsia="en-US"/>
              </w:rPr>
              <m:t>0</m:t>
            </m:r>
          </m:sub>
        </m:sSub>
      </m:oMath>
      <w:r w:rsidRPr="009D55B8">
        <w:rPr>
          <w:rFonts w:eastAsia="Malgun Gothic"/>
          <w:lang w:val="en-US" w:eastAsia="en-US"/>
        </w:rPr>
        <w:fldChar w:fldCharType="end"/>
      </w:r>
      <w:r w:rsidRPr="009D55B8">
        <w:rPr>
          <w:rFonts w:eastAsia="Malgun Gothic"/>
          <w:lang w:val="en-US" w:eastAsia="en-US"/>
        </w:rPr>
        <w:t xml:space="preserve"> subset design: down select in RAN1#96 from the following alternatives </w:t>
      </w:r>
    </w:p>
    <w:p w14:paraId="2AD39D04" w14:textId="77777777" w:rsidR="009D55B8" w:rsidRPr="009D55B8" w:rsidRDefault="009D55B8" w:rsidP="009D55B8">
      <w:pPr>
        <w:numPr>
          <w:ilvl w:val="1"/>
          <w:numId w:val="42"/>
        </w:numPr>
        <w:overflowPunct/>
        <w:autoSpaceDE/>
        <w:autoSpaceDN/>
        <w:adjustRightInd/>
        <w:spacing w:after="0"/>
        <w:jc w:val="left"/>
        <w:textAlignment w:val="auto"/>
        <w:rPr>
          <w:rFonts w:eastAsia="Malgun Gothic"/>
          <w:lang w:val="en-US" w:eastAsia="en-US"/>
        </w:rPr>
      </w:pPr>
      <w:r w:rsidRPr="009D55B8">
        <w:rPr>
          <w:rFonts w:eastAsia="Malgun Gothic"/>
          <w:lang w:val="en-US" w:eastAsia="en-US"/>
        </w:rPr>
        <w:t>Alt1. Unrestricted subset (size=2LM)</w:t>
      </w:r>
    </w:p>
    <w:p w14:paraId="133B6B10" w14:textId="77777777" w:rsidR="009D55B8" w:rsidRPr="009D55B8" w:rsidRDefault="009D55B8" w:rsidP="009D55B8">
      <w:pPr>
        <w:numPr>
          <w:ilvl w:val="1"/>
          <w:numId w:val="42"/>
        </w:numPr>
        <w:overflowPunct/>
        <w:autoSpaceDE/>
        <w:autoSpaceDN/>
        <w:adjustRightInd/>
        <w:spacing w:after="0"/>
        <w:jc w:val="left"/>
        <w:textAlignment w:val="auto"/>
        <w:rPr>
          <w:rFonts w:eastAsia="Malgun Gothic"/>
          <w:lang w:val="en-US" w:eastAsia="en-US"/>
        </w:rPr>
      </w:pPr>
      <w:r w:rsidRPr="009D55B8">
        <w:rPr>
          <w:rFonts w:eastAsia="Malgun Gothic"/>
          <w:lang w:val="en-US" w:eastAsia="en-US"/>
        </w:rPr>
        <w:t>Alt2. Polarization-common subset (size=LM)</w:t>
      </w:r>
    </w:p>
    <w:p w14:paraId="6986F8A9" w14:textId="77777777" w:rsidR="009D55B8" w:rsidRPr="009D55B8" w:rsidRDefault="009D55B8" w:rsidP="009D55B8">
      <w:pPr>
        <w:numPr>
          <w:ilvl w:val="1"/>
          <w:numId w:val="42"/>
        </w:numPr>
        <w:overflowPunct/>
        <w:autoSpaceDE/>
        <w:autoSpaceDN/>
        <w:adjustRightInd/>
        <w:spacing w:after="0"/>
        <w:jc w:val="left"/>
        <w:textAlignment w:val="auto"/>
        <w:rPr>
          <w:rFonts w:eastAsia="Malgun Gothic"/>
          <w:lang w:val="en-US" w:eastAsia="en-US"/>
        </w:rPr>
      </w:pPr>
      <w:r w:rsidRPr="009D55B8">
        <w:rPr>
          <w:rFonts w:eastAsia="Malgun Gothic"/>
          <w:lang w:val="en-US" w:eastAsia="en-US"/>
        </w:rPr>
        <w:t xml:space="preserve">Alt3. </w:t>
      </w:r>
      <w:r w:rsidRPr="009D55B8">
        <w:rPr>
          <w:rFonts w:eastAsia="SimSun"/>
          <w:lang w:val="en-US"/>
        </w:rPr>
        <w:t>Restricted subset (for a given subset of beams and FD basis, size=2L+M)</w:t>
      </w:r>
    </w:p>
    <w:p w14:paraId="79FE5FE8" w14:textId="47963B43" w:rsidR="009D55B8" w:rsidRPr="009D55B8" w:rsidRDefault="009D55B8" w:rsidP="009D55B8">
      <w:pPr>
        <w:numPr>
          <w:ilvl w:val="0"/>
          <w:numId w:val="42"/>
        </w:numPr>
        <w:overflowPunct/>
        <w:autoSpaceDE/>
        <w:autoSpaceDN/>
        <w:adjustRightInd/>
        <w:spacing w:after="0"/>
        <w:jc w:val="left"/>
        <w:textAlignment w:val="auto"/>
        <w:rPr>
          <w:rFonts w:eastAsia="Malgun Gothic"/>
          <w:lang w:val="en-US" w:eastAsia="en-US"/>
        </w:rPr>
      </w:pPr>
      <w:r w:rsidRPr="009D55B8">
        <w:rPr>
          <w:rFonts w:eastAsia="Malgun Gothic"/>
          <w:lang w:val="en-US" w:eastAsia="en-US"/>
        </w:rPr>
        <w:t>The value of K</w:t>
      </w:r>
      <w:r w:rsidRPr="009D55B8">
        <w:rPr>
          <w:rFonts w:eastAsia="Malgun Gothic"/>
          <w:vertAlign w:val="subscript"/>
          <w:lang w:val="en-US" w:eastAsia="en-US"/>
        </w:rPr>
        <w:t>0</w:t>
      </w:r>
      <w:r w:rsidRPr="009D55B8">
        <w:rPr>
          <w:rFonts w:eastAsia="Malgun Gothic"/>
          <w:iCs/>
          <w:lang w:val="en-US" w:eastAsia="en-US"/>
        </w:rPr>
        <w:t xml:space="preserve">: </w:t>
      </w:r>
      <w:r w:rsidRPr="009D55B8">
        <w:rPr>
          <w:rFonts w:eastAsia="Malgun Gothic"/>
          <w:iCs/>
          <w:position w:val="-14"/>
          <w:lang w:val="en-US" w:eastAsia="en-US"/>
        </w:rPr>
        <w:object w:dxaOrig="1650" w:dyaOrig="405" w14:anchorId="02C7DB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20.5pt" o:ole="">
            <v:imagedata r:id="rId11" o:title=""/>
          </v:shape>
          <o:OLEObject Type="Embed" ProgID="Equation.DSMT4" ShapeID="_x0000_i1025" DrawAspect="Content" ObjectID="_1615406761" r:id="rId12"/>
        </w:object>
      </w:r>
      <w:r w:rsidRPr="009D55B8">
        <w:rPr>
          <w:rFonts w:eastAsia="Malgun Gothic"/>
          <w:iCs/>
          <w:lang w:val="en-US" w:eastAsia="en-US"/>
        </w:rPr>
        <w:t xml:space="preserve"> </w:t>
      </w:r>
      <w:r w:rsidRPr="009D55B8">
        <w:rPr>
          <w:rFonts w:eastAsia="Malgun Gothic"/>
          <w:iCs/>
          <w:lang w:val="sv-SE" w:eastAsia="en-US"/>
        </w:rPr>
        <w:fldChar w:fldCharType="begin"/>
      </w:r>
      <w:r w:rsidRPr="009D55B8">
        <w:rPr>
          <w:rFonts w:eastAsia="Malgun Gothic"/>
          <w:iCs/>
          <w:lang w:val="en-US" w:eastAsia="en-US"/>
        </w:rPr>
        <w:instrText xml:space="preserve"> QUOTE </w:instrText>
      </w:r>
      <m:oMath>
        <m:sSub>
          <m:sSubPr>
            <m:ctrlPr>
              <w:rPr>
                <w:rFonts w:ascii="Cambria Math" w:eastAsia="Malgun Gothic" w:hAnsi="Cambria Math"/>
                <w:i/>
                <w:iCs/>
                <w:sz w:val="24"/>
                <w:szCs w:val="24"/>
                <w:lang w:eastAsia="en-US"/>
              </w:rPr>
            </m:ctrlPr>
          </m:sSubPr>
          <m:e>
            <m:r>
              <m:rPr>
                <m:sty m:val="p"/>
              </m:rPr>
              <w:rPr>
                <w:rFonts w:ascii="Cambria Math" w:eastAsia="Malgun Gothic" w:hAnsi="Cambria Math"/>
                <w:sz w:val="24"/>
                <w:lang w:val="en-US" w:eastAsia="en-US"/>
              </w:rPr>
              <m:t>K</m:t>
            </m:r>
          </m:e>
          <m:sub>
            <m:r>
              <m:rPr>
                <m:sty m:val="p"/>
              </m:rPr>
              <w:rPr>
                <w:rFonts w:ascii="Cambria Math" w:eastAsia="Malgun Gothic" w:hAnsi="Cambria Math"/>
                <w:sz w:val="24"/>
                <w:lang w:val="en-US" w:eastAsia="en-US"/>
              </w:rPr>
              <m:t>0</m:t>
            </m:r>
          </m:sub>
        </m:sSub>
        <m:r>
          <m:rPr>
            <m:sty m:val="p"/>
          </m:rPr>
          <w:rPr>
            <w:rFonts w:ascii="Cambria Math" w:eastAsia="Malgun Gothic" w:hAnsi="Cambria Math"/>
            <w:sz w:val="24"/>
            <w:lang w:val="en-US" w:eastAsia="en-US"/>
          </w:rPr>
          <m:t>=</m:t>
        </m:r>
        <m:d>
          <m:dPr>
            <m:begChr m:val="⌈"/>
            <m:endChr m:val="⌉"/>
            <m:ctrlPr>
              <w:rPr>
                <w:rFonts w:ascii="Cambria Math" w:eastAsia="Malgun Gothic" w:hAnsi="Cambria Math"/>
                <w:i/>
                <w:iCs/>
                <w:sz w:val="24"/>
                <w:szCs w:val="24"/>
                <w:lang w:eastAsia="en-US"/>
              </w:rPr>
            </m:ctrlPr>
          </m:dPr>
          <m:e>
            <m:r>
              <m:rPr>
                <m:sty m:val="p"/>
              </m:rPr>
              <w:rPr>
                <w:rFonts w:ascii="Cambria Math" w:eastAsia="Malgun Gothic" w:hAnsi="Cambria Math"/>
                <w:sz w:val="24"/>
                <w:lang w:val="sv-SE" w:eastAsia="en-US"/>
              </w:rPr>
              <m:t>β</m:t>
            </m:r>
            <m:r>
              <m:rPr>
                <m:sty m:val="p"/>
              </m:rPr>
              <w:rPr>
                <w:rFonts w:ascii="Cambria Math" w:eastAsia="Malgun Gothic" w:hAnsi="Cambria Math"/>
                <w:sz w:val="24"/>
                <w:lang w:val="en-US" w:eastAsia="en-US"/>
              </w:rPr>
              <m:t>×2LM</m:t>
            </m:r>
          </m:e>
        </m:d>
      </m:oMath>
      <w:r w:rsidRPr="009D55B8">
        <w:rPr>
          <w:rFonts w:eastAsia="Malgun Gothic"/>
          <w:iCs/>
          <w:lang w:val="en-US" w:eastAsia="en-US"/>
        </w:rPr>
        <w:instrText xml:space="preserve"> </w:instrText>
      </w:r>
      <w:r w:rsidRPr="009D55B8">
        <w:rPr>
          <w:rFonts w:eastAsia="Malgun Gothic"/>
          <w:iCs/>
          <w:lang w:val="sv-SE" w:eastAsia="en-US"/>
        </w:rPr>
        <w:fldChar w:fldCharType="separate"/>
      </w:r>
      <m:oMath>
        <m:sSub>
          <m:sSubPr>
            <m:ctrlPr>
              <w:rPr>
                <w:rFonts w:ascii="Cambria Math" w:eastAsia="Malgun Gothic" w:hAnsi="Cambria Math"/>
                <w:i/>
                <w:iCs/>
                <w:sz w:val="24"/>
                <w:szCs w:val="24"/>
                <w:lang w:eastAsia="en-US"/>
              </w:rPr>
            </m:ctrlPr>
          </m:sSubPr>
          <m:e>
            <m:r>
              <m:rPr>
                <m:sty m:val="p"/>
              </m:rPr>
              <w:rPr>
                <w:rFonts w:ascii="Cambria Math" w:eastAsia="Malgun Gothic" w:hAnsi="Cambria Math"/>
                <w:sz w:val="24"/>
                <w:lang w:val="en-US" w:eastAsia="en-US"/>
              </w:rPr>
              <m:t>K</m:t>
            </m:r>
          </m:e>
          <m:sub>
            <m:r>
              <m:rPr>
                <m:sty m:val="p"/>
              </m:rPr>
              <w:rPr>
                <w:rFonts w:ascii="Cambria Math" w:eastAsia="Malgun Gothic" w:hAnsi="Cambria Math"/>
                <w:sz w:val="24"/>
                <w:lang w:val="en-US" w:eastAsia="en-US"/>
              </w:rPr>
              <m:t>0</m:t>
            </m:r>
          </m:sub>
        </m:sSub>
        <m:r>
          <m:rPr>
            <m:sty m:val="p"/>
          </m:rPr>
          <w:rPr>
            <w:rFonts w:ascii="Cambria Math" w:eastAsia="Malgun Gothic" w:hAnsi="Cambria Math"/>
            <w:sz w:val="24"/>
            <w:lang w:val="en-US" w:eastAsia="en-US"/>
          </w:rPr>
          <m:t>=</m:t>
        </m:r>
        <m:d>
          <m:dPr>
            <m:begChr m:val="⌈"/>
            <m:endChr m:val="⌉"/>
            <m:ctrlPr>
              <w:rPr>
                <w:rFonts w:ascii="Cambria Math" w:eastAsia="Malgun Gothic" w:hAnsi="Cambria Math"/>
                <w:i/>
                <w:iCs/>
                <w:sz w:val="24"/>
                <w:szCs w:val="24"/>
                <w:lang w:eastAsia="en-US"/>
              </w:rPr>
            </m:ctrlPr>
          </m:dPr>
          <m:e>
            <m:r>
              <m:rPr>
                <m:sty m:val="p"/>
              </m:rPr>
              <w:rPr>
                <w:rFonts w:ascii="Cambria Math" w:eastAsia="Malgun Gothic" w:hAnsi="Cambria Math"/>
                <w:sz w:val="24"/>
                <w:lang w:val="sv-SE" w:eastAsia="en-US"/>
              </w:rPr>
              <m:t>β</m:t>
            </m:r>
            <m:r>
              <m:rPr>
                <m:sty m:val="p"/>
              </m:rPr>
              <w:rPr>
                <w:rFonts w:ascii="Cambria Math" w:eastAsia="Malgun Gothic" w:hAnsi="Cambria Math"/>
                <w:sz w:val="24"/>
                <w:lang w:val="en-US" w:eastAsia="en-US"/>
              </w:rPr>
              <m:t>×2LM</m:t>
            </m:r>
          </m:e>
        </m:d>
      </m:oMath>
      <w:r w:rsidRPr="009D55B8">
        <w:rPr>
          <w:rFonts w:eastAsia="Malgun Gothic"/>
          <w:iCs/>
          <w:lang w:val="sv-SE" w:eastAsia="en-US"/>
        </w:rPr>
        <w:fldChar w:fldCharType="end"/>
      </w:r>
      <w:r w:rsidRPr="009D55B8">
        <w:rPr>
          <w:rFonts w:eastAsia="Malgun Gothic"/>
          <w:iCs/>
          <w:lang w:val="en-US" w:eastAsia="en-US"/>
        </w:rPr>
        <w:t xml:space="preserve"> where two values of </w:t>
      </w:r>
      <w:r w:rsidRPr="009D55B8">
        <w:rPr>
          <w:rFonts w:eastAsia="Malgun Gothic"/>
          <w:iCs/>
          <w:lang w:val="sv-SE" w:eastAsia="en-US"/>
        </w:rPr>
        <w:t>β</w:t>
      </w:r>
      <w:r w:rsidRPr="009D55B8">
        <w:rPr>
          <w:rFonts w:eastAsia="Malgun Gothic"/>
          <w:iCs/>
          <w:lang w:val="en-US" w:eastAsia="en-US"/>
        </w:rPr>
        <w:t xml:space="preserve"> are supported  </w:t>
      </w:r>
    </w:p>
    <w:p w14:paraId="2EB2326E" w14:textId="7722C6BE" w:rsidR="009D55B8" w:rsidRPr="009D55B8" w:rsidRDefault="009D55B8" w:rsidP="009D55B8">
      <w:pPr>
        <w:numPr>
          <w:ilvl w:val="1"/>
          <w:numId w:val="42"/>
        </w:numPr>
        <w:overflowPunct/>
        <w:autoSpaceDE/>
        <w:autoSpaceDN/>
        <w:adjustRightInd/>
        <w:spacing w:after="0"/>
        <w:jc w:val="left"/>
        <w:textAlignment w:val="auto"/>
        <w:rPr>
          <w:rFonts w:eastAsia="Malgun Gothic"/>
          <w:lang w:val="en-US" w:eastAsia="en-US"/>
        </w:rPr>
      </w:pPr>
      <w:r w:rsidRPr="009D55B8">
        <w:rPr>
          <w:rFonts w:eastAsia="Malgun Gothic"/>
          <w:lang w:val="en-US" w:eastAsia="en-US"/>
        </w:rPr>
        <w:t>Down select in RAN1#96 from</w:t>
      </w:r>
      <w:r w:rsidRPr="009D55B8">
        <w:rPr>
          <w:rFonts w:eastAsia="Malgun Gothic"/>
          <w:position w:val="-24"/>
          <w:lang w:val="en-US" w:eastAsia="en-US"/>
        </w:rPr>
        <w:object w:dxaOrig="1605" w:dyaOrig="615" w14:anchorId="4835E548">
          <v:shape id="_x0000_i1026" type="#_x0000_t75" style="width:80.5pt;height:31pt" o:ole="">
            <v:imagedata r:id="rId13" o:title=""/>
          </v:shape>
          <o:OLEObject Type="Embed" ProgID="Equation.DSMT4" ShapeID="_x0000_i1026" DrawAspect="Content" ObjectID="_1615406762" r:id="rId14"/>
        </w:object>
      </w:r>
      <w:r w:rsidRPr="009D55B8">
        <w:rPr>
          <w:rFonts w:eastAsia="Malgun Gothic"/>
          <w:lang w:val="en-US" w:eastAsia="en-US"/>
        </w:rPr>
        <w:t xml:space="preserve">  </w:t>
      </w:r>
      <w:r w:rsidRPr="009D55B8">
        <w:rPr>
          <w:rFonts w:eastAsia="Malgun Gothic"/>
          <w:lang w:val="en-US" w:eastAsia="en-US"/>
        </w:rPr>
        <w:fldChar w:fldCharType="begin"/>
      </w:r>
      <w:r w:rsidRPr="009D55B8">
        <w:rPr>
          <w:rFonts w:eastAsia="Malgun Gothic"/>
          <w:lang w:val="en-US" w:eastAsia="en-US"/>
        </w:rPr>
        <w:instrText xml:space="preserve"> QUOTE </w:instrText>
      </w:r>
      <m:oMath>
        <m:r>
          <m:rPr>
            <m:sty m:val="p"/>
          </m:rPr>
          <w:rPr>
            <w:rFonts w:ascii="Cambria Math" w:eastAsia="Malgun Gothic" w:hAnsi="Cambria Math"/>
            <w:sz w:val="24"/>
            <w:lang w:val="sv-SE" w:eastAsia="en-US"/>
          </w:rPr>
          <m:t>β</m:t>
        </m:r>
        <m:r>
          <m:rPr>
            <m:sty m:val="p"/>
          </m:rPr>
          <w:rPr>
            <w:rFonts w:ascii="Cambria Math" w:eastAsia="Malgun Gothic" w:hAnsi="Cambria Math"/>
            <w:sz w:val="24"/>
            <w:lang w:val="en-US" w:eastAsia="en-US"/>
          </w:rPr>
          <m:t>∈</m:t>
        </m:r>
        <m:d>
          <m:dPr>
            <m:begChr m:val="{"/>
            <m:endChr m:val="}"/>
            <m:ctrlPr>
              <w:rPr>
                <w:rFonts w:ascii="Cambria Math" w:eastAsia="Malgun Gothic" w:hAnsi="Cambria Math"/>
                <w:i/>
                <w:iCs/>
                <w:sz w:val="24"/>
                <w:szCs w:val="24"/>
                <w:lang w:eastAsia="en-US"/>
              </w:rPr>
            </m:ctrlPr>
          </m:dPr>
          <m:e>
            <m:f>
              <m:fPr>
                <m:ctrlPr>
                  <w:rPr>
                    <w:rFonts w:ascii="Cambria Math" w:eastAsia="Malgun Gothic" w:hAnsi="Cambria Math"/>
                    <w:i/>
                    <w:iCs/>
                    <w:sz w:val="24"/>
                    <w:szCs w:val="24"/>
                    <w:lang w:eastAsia="en-US"/>
                  </w:rPr>
                </m:ctrlPr>
              </m:fPr>
              <m:num>
                <m:r>
                  <m:rPr>
                    <m:sty m:val="p"/>
                  </m:rPr>
                  <w:rPr>
                    <w:rFonts w:ascii="Cambria Math" w:eastAsia="Malgun Gothic" w:hAnsi="Cambria Math"/>
                    <w:sz w:val="24"/>
                    <w:lang w:val="en-US" w:eastAsia="en-US"/>
                  </w:rPr>
                  <m:t>1</m:t>
                </m:r>
              </m:num>
              <m:den>
                <m:r>
                  <m:rPr>
                    <m:sty m:val="p"/>
                  </m:rPr>
                  <w:rPr>
                    <w:rFonts w:ascii="Cambria Math" w:eastAsia="Malgun Gothic" w:hAnsi="Cambria Math"/>
                    <w:sz w:val="24"/>
                    <w:lang w:val="en-US" w:eastAsia="en-US"/>
                  </w:rPr>
                  <m:t>8</m:t>
                </m:r>
              </m:den>
            </m:f>
            <m:r>
              <m:rPr>
                <m:sty m:val="p"/>
              </m:rPr>
              <w:rPr>
                <w:rFonts w:ascii="Cambria Math" w:eastAsia="Malgun Gothic" w:hAnsi="Cambria Math"/>
                <w:sz w:val="24"/>
                <w:lang w:val="en-US" w:eastAsia="en-US"/>
              </w:rPr>
              <m:t>,</m:t>
            </m:r>
            <m:f>
              <m:fPr>
                <m:ctrlPr>
                  <w:rPr>
                    <w:rFonts w:ascii="Cambria Math" w:eastAsia="Malgun Gothic" w:hAnsi="Cambria Math"/>
                    <w:i/>
                    <w:iCs/>
                    <w:sz w:val="24"/>
                    <w:szCs w:val="24"/>
                    <w:lang w:eastAsia="en-US"/>
                  </w:rPr>
                </m:ctrlPr>
              </m:fPr>
              <m:num>
                <m:r>
                  <m:rPr>
                    <m:sty m:val="p"/>
                  </m:rPr>
                  <w:rPr>
                    <w:rFonts w:ascii="Cambria Math" w:eastAsia="Malgun Gothic" w:hAnsi="Cambria Math"/>
                    <w:sz w:val="24"/>
                    <w:lang w:val="en-US" w:eastAsia="en-US"/>
                  </w:rPr>
                  <m:t>1</m:t>
                </m:r>
              </m:num>
              <m:den>
                <m:r>
                  <m:rPr>
                    <m:sty m:val="p"/>
                  </m:rPr>
                  <w:rPr>
                    <w:rFonts w:ascii="Cambria Math" w:eastAsia="Malgun Gothic" w:hAnsi="Cambria Math"/>
                    <w:sz w:val="24"/>
                    <w:lang w:val="en-US" w:eastAsia="en-US"/>
                  </w:rPr>
                  <m:t>4</m:t>
                </m:r>
              </m:den>
            </m:f>
            <m:r>
              <m:rPr>
                <m:sty m:val="p"/>
              </m:rPr>
              <w:rPr>
                <w:rFonts w:ascii="Cambria Math" w:eastAsia="Malgun Gothic" w:hAnsi="Cambria Math"/>
                <w:sz w:val="24"/>
                <w:lang w:val="en-US" w:eastAsia="en-US"/>
              </w:rPr>
              <m:t>,</m:t>
            </m:r>
            <m:f>
              <m:fPr>
                <m:ctrlPr>
                  <w:rPr>
                    <w:rFonts w:ascii="Cambria Math" w:eastAsia="Malgun Gothic" w:hAnsi="Cambria Math"/>
                    <w:i/>
                    <w:iCs/>
                    <w:sz w:val="24"/>
                    <w:szCs w:val="24"/>
                    <w:lang w:eastAsia="en-US"/>
                  </w:rPr>
                </m:ctrlPr>
              </m:fPr>
              <m:num>
                <m:r>
                  <m:rPr>
                    <m:sty m:val="p"/>
                  </m:rPr>
                  <w:rPr>
                    <w:rFonts w:ascii="Cambria Math" w:eastAsia="Malgun Gothic" w:hAnsi="Cambria Math"/>
                    <w:sz w:val="24"/>
                    <w:lang w:val="en-US" w:eastAsia="en-US"/>
                  </w:rPr>
                  <m:t>1</m:t>
                </m:r>
              </m:num>
              <m:den>
                <m:r>
                  <m:rPr>
                    <m:sty m:val="p"/>
                  </m:rPr>
                  <w:rPr>
                    <w:rFonts w:ascii="Cambria Math" w:eastAsia="Malgun Gothic" w:hAnsi="Cambria Math"/>
                    <w:sz w:val="24"/>
                    <w:lang w:val="en-US" w:eastAsia="en-US"/>
                  </w:rPr>
                  <m:t>2</m:t>
                </m:r>
              </m:den>
            </m:f>
            <m:r>
              <m:rPr>
                <m:sty m:val="p"/>
              </m:rPr>
              <w:rPr>
                <w:rFonts w:ascii="Cambria Math" w:eastAsia="Malgun Gothic" w:hAnsi="Cambria Math"/>
                <w:sz w:val="24"/>
                <w:lang w:val="en-US" w:eastAsia="en-US"/>
              </w:rPr>
              <m:t>,</m:t>
            </m:r>
            <m:f>
              <m:fPr>
                <m:ctrlPr>
                  <w:rPr>
                    <w:rFonts w:ascii="Cambria Math" w:eastAsia="Malgun Gothic" w:hAnsi="Cambria Math"/>
                    <w:i/>
                    <w:iCs/>
                    <w:sz w:val="24"/>
                    <w:szCs w:val="24"/>
                    <w:lang w:eastAsia="en-US"/>
                  </w:rPr>
                </m:ctrlPr>
              </m:fPr>
              <m:num>
                <m:r>
                  <m:rPr>
                    <m:sty m:val="p"/>
                  </m:rPr>
                  <w:rPr>
                    <w:rFonts w:ascii="Cambria Math" w:eastAsia="Malgun Gothic" w:hAnsi="Cambria Math"/>
                    <w:sz w:val="24"/>
                    <w:lang w:val="en-US" w:eastAsia="en-US"/>
                  </w:rPr>
                  <m:t>3</m:t>
                </m:r>
              </m:num>
              <m:den>
                <m:r>
                  <m:rPr>
                    <m:sty m:val="p"/>
                  </m:rPr>
                  <w:rPr>
                    <w:rFonts w:ascii="Cambria Math" w:eastAsia="Malgun Gothic" w:hAnsi="Cambria Math"/>
                    <w:sz w:val="24"/>
                    <w:lang w:val="en-US" w:eastAsia="en-US"/>
                  </w:rPr>
                  <m:t>4</m:t>
                </m:r>
              </m:den>
            </m:f>
          </m:e>
        </m:d>
      </m:oMath>
      <w:r w:rsidRPr="009D55B8">
        <w:rPr>
          <w:rFonts w:eastAsia="Malgun Gothic"/>
          <w:lang w:val="en-US" w:eastAsia="en-US"/>
        </w:rPr>
        <w:instrText xml:space="preserve"> </w:instrText>
      </w:r>
      <w:r w:rsidRPr="009D55B8">
        <w:rPr>
          <w:rFonts w:eastAsia="Malgun Gothic"/>
          <w:lang w:val="en-US" w:eastAsia="en-US"/>
        </w:rPr>
        <w:fldChar w:fldCharType="separate"/>
      </w:r>
      <m:oMath>
        <m:r>
          <m:rPr>
            <m:sty m:val="p"/>
          </m:rPr>
          <w:rPr>
            <w:rFonts w:ascii="Cambria Math" w:eastAsia="Malgun Gothic" w:hAnsi="Cambria Math"/>
            <w:sz w:val="24"/>
            <w:lang w:val="sv-SE" w:eastAsia="en-US"/>
          </w:rPr>
          <m:t>β</m:t>
        </m:r>
        <m:r>
          <m:rPr>
            <m:sty m:val="p"/>
          </m:rPr>
          <w:rPr>
            <w:rFonts w:ascii="Cambria Math" w:eastAsia="Malgun Gothic" w:hAnsi="Cambria Math"/>
            <w:sz w:val="24"/>
            <w:lang w:val="en-US" w:eastAsia="en-US"/>
          </w:rPr>
          <m:t>∈</m:t>
        </m:r>
        <m:d>
          <m:dPr>
            <m:begChr m:val="{"/>
            <m:endChr m:val="}"/>
            <m:ctrlPr>
              <w:rPr>
                <w:rFonts w:ascii="Cambria Math" w:eastAsia="Malgun Gothic" w:hAnsi="Cambria Math"/>
                <w:i/>
                <w:iCs/>
                <w:sz w:val="24"/>
                <w:szCs w:val="24"/>
                <w:lang w:eastAsia="en-US"/>
              </w:rPr>
            </m:ctrlPr>
          </m:dPr>
          <m:e>
            <m:f>
              <m:fPr>
                <m:ctrlPr>
                  <w:rPr>
                    <w:rFonts w:ascii="Cambria Math" w:eastAsia="Malgun Gothic" w:hAnsi="Cambria Math"/>
                    <w:i/>
                    <w:iCs/>
                    <w:sz w:val="24"/>
                    <w:szCs w:val="24"/>
                    <w:lang w:eastAsia="en-US"/>
                  </w:rPr>
                </m:ctrlPr>
              </m:fPr>
              <m:num>
                <m:r>
                  <m:rPr>
                    <m:sty m:val="p"/>
                  </m:rPr>
                  <w:rPr>
                    <w:rFonts w:ascii="Cambria Math" w:eastAsia="Malgun Gothic" w:hAnsi="Cambria Math"/>
                    <w:sz w:val="24"/>
                    <w:lang w:val="en-US" w:eastAsia="en-US"/>
                  </w:rPr>
                  <m:t>1</m:t>
                </m:r>
              </m:num>
              <m:den>
                <m:r>
                  <m:rPr>
                    <m:sty m:val="p"/>
                  </m:rPr>
                  <w:rPr>
                    <w:rFonts w:ascii="Cambria Math" w:eastAsia="Malgun Gothic" w:hAnsi="Cambria Math"/>
                    <w:sz w:val="24"/>
                    <w:lang w:val="en-US" w:eastAsia="en-US"/>
                  </w:rPr>
                  <m:t>8</m:t>
                </m:r>
              </m:den>
            </m:f>
            <m:r>
              <m:rPr>
                <m:sty m:val="p"/>
              </m:rPr>
              <w:rPr>
                <w:rFonts w:ascii="Cambria Math" w:eastAsia="Malgun Gothic" w:hAnsi="Cambria Math"/>
                <w:sz w:val="24"/>
                <w:lang w:val="en-US" w:eastAsia="en-US"/>
              </w:rPr>
              <m:t>,</m:t>
            </m:r>
            <m:f>
              <m:fPr>
                <m:ctrlPr>
                  <w:rPr>
                    <w:rFonts w:ascii="Cambria Math" w:eastAsia="Malgun Gothic" w:hAnsi="Cambria Math"/>
                    <w:i/>
                    <w:iCs/>
                    <w:sz w:val="24"/>
                    <w:szCs w:val="24"/>
                    <w:lang w:eastAsia="en-US"/>
                  </w:rPr>
                </m:ctrlPr>
              </m:fPr>
              <m:num>
                <m:r>
                  <m:rPr>
                    <m:sty m:val="p"/>
                  </m:rPr>
                  <w:rPr>
                    <w:rFonts w:ascii="Cambria Math" w:eastAsia="Malgun Gothic" w:hAnsi="Cambria Math"/>
                    <w:sz w:val="24"/>
                    <w:lang w:val="en-US" w:eastAsia="en-US"/>
                  </w:rPr>
                  <m:t>1</m:t>
                </m:r>
              </m:num>
              <m:den>
                <m:r>
                  <m:rPr>
                    <m:sty m:val="p"/>
                  </m:rPr>
                  <w:rPr>
                    <w:rFonts w:ascii="Cambria Math" w:eastAsia="Malgun Gothic" w:hAnsi="Cambria Math"/>
                    <w:sz w:val="24"/>
                    <w:lang w:val="en-US" w:eastAsia="en-US"/>
                  </w:rPr>
                  <m:t>4</m:t>
                </m:r>
              </m:den>
            </m:f>
            <m:r>
              <m:rPr>
                <m:sty m:val="p"/>
              </m:rPr>
              <w:rPr>
                <w:rFonts w:ascii="Cambria Math" w:eastAsia="Malgun Gothic" w:hAnsi="Cambria Math"/>
                <w:sz w:val="24"/>
                <w:lang w:val="en-US" w:eastAsia="en-US"/>
              </w:rPr>
              <m:t>,</m:t>
            </m:r>
            <m:f>
              <m:fPr>
                <m:ctrlPr>
                  <w:rPr>
                    <w:rFonts w:ascii="Cambria Math" w:eastAsia="Malgun Gothic" w:hAnsi="Cambria Math"/>
                    <w:i/>
                    <w:iCs/>
                    <w:sz w:val="24"/>
                    <w:szCs w:val="24"/>
                    <w:lang w:eastAsia="en-US"/>
                  </w:rPr>
                </m:ctrlPr>
              </m:fPr>
              <m:num>
                <m:r>
                  <m:rPr>
                    <m:sty m:val="p"/>
                  </m:rPr>
                  <w:rPr>
                    <w:rFonts w:ascii="Cambria Math" w:eastAsia="Malgun Gothic" w:hAnsi="Cambria Math"/>
                    <w:sz w:val="24"/>
                    <w:lang w:val="en-US" w:eastAsia="en-US"/>
                  </w:rPr>
                  <m:t>1</m:t>
                </m:r>
              </m:num>
              <m:den>
                <m:r>
                  <m:rPr>
                    <m:sty m:val="p"/>
                  </m:rPr>
                  <w:rPr>
                    <w:rFonts w:ascii="Cambria Math" w:eastAsia="Malgun Gothic" w:hAnsi="Cambria Math"/>
                    <w:sz w:val="24"/>
                    <w:lang w:val="en-US" w:eastAsia="en-US"/>
                  </w:rPr>
                  <m:t>2</m:t>
                </m:r>
              </m:den>
            </m:f>
            <m:r>
              <m:rPr>
                <m:sty m:val="p"/>
              </m:rPr>
              <w:rPr>
                <w:rFonts w:ascii="Cambria Math" w:eastAsia="Malgun Gothic" w:hAnsi="Cambria Math"/>
                <w:sz w:val="24"/>
                <w:lang w:val="en-US" w:eastAsia="en-US"/>
              </w:rPr>
              <m:t>,</m:t>
            </m:r>
            <m:f>
              <m:fPr>
                <m:ctrlPr>
                  <w:rPr>
                    <w:rFonts w:ascii="Cambria Math" w:eastAsia="Malgun Gothic" w:hAnsi="Cambria Math"/>
                    <w:i/>
                    <w:iCs/>
                    <w:sz w:val="24"/>
                    <w:szCs w:val="24"/>
                    <w:lang w:eastAsia="en-US"/>
                  </w:rPr>
                </m:ctrlPr>
              </m:fPr>
              <m:num>
                <m:r>
                  <m:rPr>
                    <m:sty m:val="p"/>
                  </m:rPr>
                  <w:rPr>
                    <w:rFonts w:ascii="Cambria Math" w:eastAsia="Malgun Gothic" w:hAnsi="Cambria Math"/>
                    <w:sz w:val="24"/>
                    <w:lang w:val="en-US" w:eastAsia="en-US"/>
                  </w:rPr>
                  <m:t>3</m:t>
                </m:r>
              </m:num>
              <m:den>
                <m:r>
                  <m:rPr>
                    <m:sty m:val="p"/>
                  </m:rPr>
                  <w:rPr>
                    <w:rFonts w:ascii="Cambria Math" w:eastAsia="Malgun Gothic" w:hAnsi="Cambria Math"/>
                    <w:sz w:val="24"/>
                    <w:lang w:val="en-US" w:eastAsia="en-US"/>
                  </w:rPr>
                  <m:t>4</m:t>
                </m:r>
              </m:den>
            </m:f>
          </m:e>
        </m:d>
      </m:oMath>
      <w:r w:rsidRPr="009D55B8">
        <w:rPr>
          <w:rFonts w:eastAsia="Malgun Gothic"/>
          <w:lang w:val="en-US" w:eastAsia="en-US"/>
        </w:rPr>
        <w:fldChar w:fldCharType="end"/>
      </w:r>
    </w:p>
    <w:p w14:paraId="05457637" w14:textId="77777777" w:rsidR="009D55B8" w:rsidRPr="009D55B8" w:rsidRDefault="009D55B8" w:rsidP="009D55B8">
      <w:pPr>
        <w:numPr>
          <w:ilvl w:val="0"/>
          <w:numId w:val="42"/>
        </w:numPr>
        <w:overflowPunct/>
        <w:autoSpaceDE/>
        <w:autoSpaceDN/>
        <w:adjustRightInd/>
        <w:spacing w:after="0"/>
        <w:jc w:val="left"/>
        <w:textAlignment w:val="auto"/>
        <w:rPr>
          <w:rFonts w:eastAsia="Malgun Gothic"/>
          <w:highlight w:val="cyan"/>
          <w:lang w:val="en-US" w:eastAsia="en-US"/>
        </w:rPr>
      </w:pPr>
      <w:r w:rsidRPr="009D55B8">
        <w:rPr>
          <w:rFonts w:eastAsia="Malgun Gothic"/>
          <w:highlight w:val="cyan"/>
          <w:lang w:val="en-US" w:eastAsia="en-US"/>
        </w:rPr>
        <w:t xml:space="preserve">The UCI consists of two parts: </w:t>
      </w:r>
    </w:p>
    <w:p w14:paraId="54D4BDB2" w14:textId="77777777" w:rsidR="009D55B8" w:rsidRPr="009D55B8" w:rsidRDefault="009D55B8" w:rsidP="009D55B8">
      <w:pPr>
        <w:numPr>
          <w:ilvl w:val="1"/>
          <w:numId w:val="42"/>
        </w:numPr>
        <w:overflowPunct/>
        <w:autoSpaceDE/>
        <w:autoSpaceDN/>
        <w:adjustRightInd/>
        <w:spacing w:after="0"/>
        <w:jc w:val="left"/>
        <w:textAlignment w:val="auto"/>
        <w:rPr>
          <w:rFonts w:eastAsia="Malgun Gothic"/>
          <w:highlight w:val="cyan"/>
          <w:lang w:val="en-US" w:eastAsia="en-US"/>
        </w:rPr>
      </w:pPr>
      <w:r w:rsidRPr="009D55B8">
        <w:rPr>
          <w:rFonts w:eastAsia="Malgun Gothic"/>
          <w:highlight w:val="cyan"/>
          <w:lang w:val="en-US" w:eastAsia="en-US"/>
        </w:rPr>
        <w:t>Information pertaining to t</w:t>
      </w:r>
      <w:r w:rsidRPr="009D55B8">
        <w:rPr>
          <w:rFonts w:eastAsia="Malgun Gothic"/>
          <w:iCs/>
          <w:highlight w:val="cyan"/>
          <w:lang w:val="en-US" w:eastAsia="en-US"/>
        </w:rPr>
        <w:t>he number(s) of non-zero coefficients is reported in UCI part 1</w:t>
      </w:r>
    </w:p>
    <w:p w14:paraId="007E4BD5" w14:textId="77777777" w:rsidR="009D55B8" w:rsidRPr="009D55B8" w:rsidRDefault="009D55B8" w:rsidP="009D55B8">
      <w:pPr>
        <w:numPr>
          <w:ilvl w:val="2"/>
          <w:numId w:val="42"/>
        </w:numPr>
        <w:overflowPunct/>
        <w:autoSpaceDE/>
        <w:autoSpaceDN/>
        <w:adjustRightInd/>
        <w:spacing w:after="0"/>
        <w:jc w:val="left"/>
        <w:textAlignment w:val="auto"/>
        <w:rPr>
          <w:rFonts w:eastAsia="Malgun Gothic"/>
          <w:highlight w:val="cyan"/>
          <w:lang w:val="en-US" w:eastAsia="en-US"/>
        </w:rPr>
      </w:pPr>
      <w:r w:rsidRPr="009D55B8">
        <w:rPr>
          <w:rFonts w:eastAsia="Malgun Gothic"/>
          <w:iCs/>
          <w:highlight w:val="cyan"/>
          <w:lang w:val="en-US" w:eastAsia="en-US"/>
        </w:rPr>
        <w:t xml:space="preserve">Note: This does not imply whether this information consists of single or multiple values </w:t>
      </w:r>
    </w:p>
    <w:p w14:paraId="082FC8A7" w14:textId="77777777" w:rsidR="009D55B8" w:rsidRPr="009D55B8" w:rsidRDefault="009D55B8" w:rsidP="009D55B8">
      <w:pPr>
        <w:numPr>
          <w:ilvl w:val="1"/>
          <w:numId w:val="42"/>
        </w:numPr>
        <w:overflowPunct/>
        <w:autoSpaceDE/>
        <w:autoSpaceDN/>
        <w:adjustRightInd/>
        <w:spacing w:after="0"/>
        <w:jc w:val="left"/>
        <w:textAlignment w:val="auto"/>
        <w:rPr>
          <w:rFonts w:eastAsia="Malgun Gothic"/>
          <w:highlight w:val="cyan"/>
          <w:lang w:val="en-US" w:eastAsia="en-US"/>
        </w:rPr>
      </w:pPr>
      <w:r w:rsidRPr="009D55B8">
        <w:rPr>
          <w:rFonts w:eastAsia="Malgun Gothic"/>
          <w:iCs/>
          <w:highlight w:val="cyan"/>
          <w:lang w:val="en-US" w:eastAsia="en-US"/>
        </w:rPr>
        <w:t>The payload of UCI part 1 remains the same for different RI value(s)</w:t>
      </w:r>
    </w:p>
    <w:p w14:paraId="2C3170D5" w14:textId="77777777" w:rsidR="009D55B8" w:rsidRPr="009D55B8" w:rsidRDefault="009D55B8" w:rsidP="009D55B8">
      <w:pPr>
        <w:numPr>
          <w:ilvl w:val="0"/>
          <w:numId w:val="42"/>
        </w:numPr>
        <w:overflowPunct/>
        <w:autoSpaceDE/>
        <w:autoSpaceDN/>
        <w:adjustRightInd/>
        <w:spacing w:after="0"/>
        <w:jc w:val="left"/>
        <w:textAlignment w:val="auto"/>
        <w:rPr>
          <w:rFonts w:eastAsia="Malgun Gothic"/>
          <w:highlight w:val="cyan"/>
          <w:lang w:val="en-US" w:eastAsia="en-US"/>
        </w:rPr>
      </w:pPr>
      <w:r w:rsidRPr="009D55B8">
        <w:rPr>
          <w:rFonts w:eastAsia="Malgun Gothic"/>
          <w:highlight w:val="cyan"/>
          <w:lang w:val="en-US" w:eastAsia="en-US"/>
        </w:rPr>
        <w:t>Bitmap is used to indicate non-zero coefficient indices</w:t>
      </w:r>
    </w:p>
    <w:p w14:paraId="2D078574" w14:textId="14978BDC" w:rsidR="009D55B8" w:rsidRPr="009D55B8" w:rsidRDefault="009D55B8" w:rsidP="002E66DD">
      <w:pPr>
        <w:rPr>
          <w:lang w:val="en-US"/>
        </w:rPr>
      </w:pPr>
    </w:p>
    <w:p w14:paraId="74443691" w14:textId="77777777" w:rsidR="00B1388B" w:rsidRPr="00B1388B" w:rsidRDefault="00B1388B" w:rsidP="00B1388B">
      <w:pPr>
        <w:rPr>
          <w:lang w:val="en-US"/>
        </w:rPr>
      </w:pPr>
      <w:r w:rsidRPr="00B1388B">
        <w:rPr>
          <w:b/>
          <w:highlight w:val="green"/>
          <w:lang w:val="en-US"/>
        </w:rPr>
        <w:t>Agreement</w:t>
      </w:r>
    </w:p>
    <w:p w14:paraId="77EE5AF9" w14:textId="77777777" w:rsidR="00B1388B" w:rsidRPr="00B1388B" w:rsidRDefault="00B1388B" w:rsidP="00B1388B">
      <w:pPr>
        <w:rPr>
          <w:lang w:val="en-US"/>
        </w:rPr>
      </w:pPr>
      <w:r w:rsidRPr="00B1388B">
        <w:rPr>
          <w:lang w:val="en-US"/>
        </w:rPr>
        <w:t>On subset selection for layer 0, agree on the following:</w:t>
      </w:r>
    </w:p>
    <w:p w14:paraId="0E24FDDE" w14:textId="77777777" w:rsidR="00B1388B" w:rsidRPr="00B1388B" w:rsidRDefault="00B1388B" w:rsidP="00B1388B">
      <w:pPr>
        <w:numPr>
          <w:ilvl w:val="0"/>
          <w:numId w:val="43"/>
        </w:numPr>
        <w:rPr>
          <w:highlight w:val="cyan"/>
          <w:lang w:val="en-US"/>
        </w:rPr>
      </w:pPr>
      <w:r w:rsidRPr="00B1388B">
        <w:rPr>
          <w:highlight w:val="cyan"/>
          <w:lang w:val="en-US"/>
        </w:rPr>
        <w:t>Unrestricted (polarization-independent) subset selection which requires a size-2LM bitmap in UCI part 2</w:t>
      </w:r>
    </w:p>
    <w:p w14:paraId="3C2BE76B" w14:textId="0FE06107" w:rsidR="00B1388B" w:rsidRPr="00B1388B" w:rsidRDefault="00B1388B" w:rsidP="00B1388B">
      <w:pPr>
        <w:numPr>
          <w:ilvl w:val="0"/>
          <w:numId w:val="43"/>
        </w:numPr>
        <w:rPr>
          <w:highlight w:val="cyan"/>
          <w:lang w:val="en-US"/>
        </w:rPr>
      </w:pPr>
      <w:r w:rsidRPr="00B1388B">
        <w:rPr>
          <w:highlight w:val="cyan"/>
          <w:lang w:val="en-US"/>
        </w:rPr>
        <w:fldChar w:fldCharType="begin"/>
      </w:r>
      <w:r w:rsidRPr="00B1388B">
        <w:rPr>
          <w:highlight w:val="cyan"/>
          <w:lang w:val="en-US"/>
        </w:rPr>
        <w:instrText xml:space="preserve"> QUOTE </w:instrText>
      </w:r>
      <m:oMath>
        <m:r>
          <m:rPr>
            <m:sty m:val="p"/>
          </m:rPr>
          <w:rPr>
            <w:rFonts w:ascii="Cambria Math" w:hAnsi="Cambria Math"/>
            <w:highlight w:val="cyan"/>
            <w:lang w:val="en-US"/>
          </w:rPr>
          <m:t>β∈</m:t>
        </m:r>
        <m:d>
          <m:dPr>
            <m:begChr m:val="{"/>
            <m:endChr m:val="}"/>
            <m:ctrlPr>
              <w:rPr>
                <w:rFonts w:ascii="Cambria Math" w:hAnsi="Cambria Math"/>
                <w:i/>
                <w:highlight w:val="cyan"/>
                <w:lang w:val="en-US"/>
              </w:rPr>
            </m:ctrlPr>
          </m:dPr>
          <m:e>
            <m:f>
              <m:fPr>
                <m:ctrlPr>
                  <w:rPr>
                    <w:rFonts w:ascii="Cambria Math" w:hAnsi="Cambria Math"/>
                    <w:i/>
                    <w:highlight w:val="cyan"/>
                    <w:lang w:val="en-US"/>
                  </w:rPr>
                </m:ctrlPr>
              </m:fPr>
              <m:num>
                <m:r>
                  <m:rPr>
                    <m:sty m:val="p"/>
                  </m:rPr>
                  <w:rPr>
                    <w:rFonts w:ascii="Cambria Math" w:hAnsi="Cambria Math"/>
                    <w:highlight w:val="cyan"/>
                    <w:lang w:val="en-US"/>
                  </w:rPr>
                  <m:t>1</m:t>
                </m:r>
              </m:num>
              <m:den>
                <m:r>
                  <m:rPr>
                    <m:sty m:val="p"/>
                  </m:rPr>
                  <w:rPr>
                    <w:rFonts w:ascii="Cambria Math" w:hAnsi="Cambria Math"/>
                    <w:highlight w:val="cyan"/>
                    <w:lang w:val="en-US"/>
                  </w:rPr>
                  <m:t>4</m:t>
                </m:r>
              </m:den>
            </m:f>
            <m:r>
              <m:rPr>
                <m:sty m:val="p"/>
              </m:rPr>
              <w:rPr>
                <w:rFonts w:ascii="Cambria Math" w:hAnsi="Cambria Math"/>
                <w:highlight w:val="cyan"/>
                <w:lang w:val="en-US"/>
              </w:rPr>
              <m:t>,</m:t>
            </m:r>
            <m:f>
              <m:fPr>
                <m:ctrlPr>
                  <w:rPr>
                    <w:rFonts w:ascii="Cambria Math" w:hAnsi="Cambria Math"/>
                    <w:i/>
                    <w:highlight w:val="cyan"/>
                    <w:lang w:val="en-US"/>
                  </w:rPr>
                </m:ctrlPr>
              </m:fPr>
              <m:num>
                <m:r>
                  <m:rPr>
                    <m:sty m:val="p"/>
                  </m:rPr>
                  <w:rPr>
                    <w:rFonts w:ascii="Cambria Math" w:hAnsi="Cambria Math"/>
                    <w:highlight w:val="cyan"/>
                    <w:lang w:val="en-US"/>
                  </w:rPr>
                  <m:t>1</m:t>
                </m:r>
              </m:num>
              <m:den>
                <m:r>
                  <m:rPr>
                    <m:sty m:val="p"/>
                  </m:rPr>
                  <w:rPr>
                    <w:rFonts w:ascii="Cambria Math" w:hAnsi="Cambria Math"/>
                    <w:highlight w:val="cyan"/>
                    <w:lang w:val="en-US"/>
                  </w:rPr>
                  <m:t>2</m:t>
                </m:r>
              </m:den>
            </m:f>
            <m:r>
              <m:rPr>
                <m:sty m:val="p"/>
              </m:rPr>
              <w:rPr>
                <w:rFonts w:ascii="Cambria Math" w:hAnsi="Cambria Math"/>
                <w:highlight w:val="cyan"/>
                <w:lang w:val="en-US"/>
              </w:rPr>
              <m:t>,</m:t>
            </m:r>
            <m:f>
              <m:fPr>
                <m:ctrlPr>
                  <w:rPr>
                    <w:rFonts w:ascii="Cambria Math" w:hAnsi="Cambria Math"/>
                    <w:i/>
                    <w:highlight w:val="cyan"/>
                    <w:lang w:val="en-US"/>
                  </w:rPr>
                </m:ctrlPr>
              </m:fPr>
              <m:num>
                <m:r>
                  <m:rPr>
                    <m:sty m:val="p"/>
                  </m:rPr>
                  <w:rPr>
                    <w:rFonts w:ascii="Cambria Math" w:hAnsi="Cambria Math"/>
                    <w:highlight w:val="cyan"/>
                    <w:lang w:val="en-US"/>
                  </w:rPr>
                  <m:t>3</m:t>
                </m:r>
              </m:num>
              <m:den>
                <m:r>
                  <m:rPr>
                    <m:sty m:val="p"/>
                  </m:rPr>
                  <w:rPr>
                    <w:rFonts w:ascii="Cambria Math" w:hAnsi="Cambria Math"/>
                    <w:highlight w:val="cyan"/>
                    <w:lang w:val="en-US"/>
                  </w:rPr>
                  <m:t>4</m:t>
                </m:r>
              </m:den>
            </m:f>
          </m:e>
        </m:d>
      </m:oMath>
      <w:r w:rsidRPr="00B1388B">
        <w:rPr>
          <w:highlight w:val="cyan"/>
          <w:lang w:val="en-US"/>
        </w:rPr>
        <w:instrText xml:space="preserve"> </w:instrText>
      </w:r>
      <w:r w:rsidRPr="00B1388B">
        <w:rPr>
          <w:highlight w:val="cyan"/>
          <w:lang w:val="en-US"/>
        </w:rPr>
        <w:fldChar w:fldCharType="separate"/>
      </w:r>
      <m:oMath>
        <m:r>
          <m:rPr>
            <m:sty m:val="p"/>
          </m:rPr>
          <w:rPr>
            <w:rFonts w:ascii="Cambria Math" w:hAnsi="Cambria Math"/>
            <w:highlight w:val="cyan"/>
            <w:lang w:val="en-US"/>
          </w:rPr>
          <m:t>β∈</m:t>
        </m:r>
        <m:d>
          <m:dPr>
            <m:begChr m:val="{"/>
            <m:endChr m:val="}"/>
            <m:ctrlPr>
              <w:rPr>
                <w:rFonts w:ascii="Cambria Math" w:hAnsi="Cambria Math"/>
                <w:i/>
                <w:highlight w:val="cyan"/>
                <w:lang w:val="en-US"/>
              </w:rPr>
            </m:ctrlPr>
          </m:dPr>
          <m:e>
            <m:f>
              <m:fPr>
                <m:ctrlPr>
                  <w:rPr>
                    <w:rFonts w:ascii="Cambria Math" w:hAnsi="Cambria Math"/>
                    <w:i/>
                    <w:highlight w:val="cyan"/>
                    <w:lang w:val="en-US"/>
                  </w:rPr>
                </m:ctrlPr>
              </m:fPr>
              <m:num>
                <m:r>
                  <m:rPr>
                    <m:sty m:val="p"/>
                  </m:rPr>
                  <w:rPr>
                    <w:rFonts w:ascii="Cambria Math" w:hAnsi="Cambria Math"/>
                    <w:highlight w:val="cyan"/>
                    <w:lang w:val="en-US"/>
                  </w:rPr>
                  <m:t>1</m:t>
                </m:r>
              </m:num>
              <m:den>
                <m:r>
                  <m:rPr>
                    <m:sty m:val="p"/>
                  </m:rPr>
                  <w:rPr>
                    <w:rFonts w:ascii="Cambria Math" w:hAnsi="Cambria Math"/>
                    <w:highlight w:val="cyan"/>
                    <w:lang w:val="en-US"/>
                  </w:rPr>
                  <m:t>4</m:t>
                </m:r>
              </m:den>
            </m:f>
            <m:r>
              <m:rPr>
                <m:sty m:val="p"/>
              </m:rPr>
              <w:rPr>
                <w:rFonts w:ascii="Cambria Math" w:hAnsi="Cambria Math"/>
                <w:highlight w:val="cyan"/>
                <w:lang w:val="en-US"/>
              </w:rPr>
              <m:t>,</m:t>
            </m:r>
            <m:f>
              <m:fPr>
                <m:ctrlPr>
                  <w:rPr>
                    <w:rFonts w:ascii="Cambria Math" w:hAnsi="Cambria Math"/>
                    <w:i/>
                    <w:highlight w:val="cyan"/>
                    <w:lang w:val="en-US"/>
                  </w:rPr>
                </m:ctrlPr>
              </m:fPr>
              <m:num>
                <m:r>
                  <m:rPr>
                    <m:sty m:val="p"/>
                  </m:rPr>
                  <w:rPr>
                    <w:rFonts w:ascii="Cambria Math" w:hAnsi="Cambria Math"/>
                    <w:highlight w:val="cyan"/>
                    <w:lang w:val="en-US"/>
                  </w:rPr>
                  <m:t>1</m:t>
                </m:r>
              </m:num>
              <m:den>
                <m:r>
                  <m:rPr>
                    <m:sty m:val="p"/>
                  </m:rPr>
                  <w:rPr>
                    <w:rFonts w:ascii="Cambria Math" w:hAnsi="Cambria Math"/>
                    <w:highlight w:val="cyan"/>
                    <w:lang w:val="en-US"/>
                  </w:rPr>
                  <m:t>2</m:t>
                </m:r>
              </m:den>
            </m:f>
            <m:r>
              <m:rPr>
                <m:sty m:val="p"/>
              </m:rPr>
              <w:rPr>
                <w:rFonts w:ascii="Cambria Math" w:hAnsi="Cambria Math"/>
                <w:highlight w:val="cyan"/>
                <w:lang w:val="en-US"/>
              </w:rPr>
              <m:t>,</m:t>
            </m:r>
            <m:f>
              <m:fPr>
                <m:ctrlPr>
                  <w:rPr>
                    <w:rFonts w:ascii="Cambria Math" w:hAnsi="Cambria Math"/>
                    <w:i/>
                    <w:highlight w:val="cyan"/>
                    <w:lang w:val="en-US"/>
                  </w:rPr>
                </m:ctrlPr>
              </m:fPr>
              <m:num>
                <m:r>
                  <m:rPr>
                    <m:sty m:val="p"/>
                  </m:rPr>
                  <w:rPr>
                    <w:rFonts w:ascii="Cambria Math" w:hAnsi="Cambria Math"/>
                    <w:highlight w:val="cyan"/>
                    <w:lang w:val="en-US"/>
                  </w:rPr>
                  <m:t>3</m:t>
                </m:r>
              </m:num>
              <m:den>
                <m:r>
                  <m:rPr>
                    <m:sty m:val="p"/>
                  </m:rPr>
                  <w:rPr>
                    <w:rFonts w:ascii="Cambria Math" w:hAnsi="Cambria Math"/>
                    <w:highlight w:val="cyan"/>
                    <w:lang w:val="en-US"/>
                  </w:rPr>
                  <m:t>4</m:t>
                </m:r>
              </m:den>
            </m:f>
          </m:e>
        </m:d>
      </m:oMath>
      <w:r w:rsidRPr="00B1388B">
        <w:rPr>
          <w:highlight w:val="cyan"/>
          <w:lang w:val="en-US"/>
        </w:rPr>
        <w:fldChar w:fldCharType="end"/>
      </w:r>
      <w:r w:rsidRPr="00B1388B">
        <w:rPr>
          <w:highlight w:val="cyan"/>
          <w:lang w:val="en-US"/>
        </w:rPr>
        <w:object w:dxaOrig="1425" w:dyaOrig="675" w14:anchorId="1FD61DDC">
          <v:shape id="_x0000_i1027" type="#_x0000_t75" style="width:71.5pt;height:34pt" o:ole="">
            <v:imagedata r:id="rId15" o:title=""/>
          </v:shape>
          <o:OLEObject Type="Embed" ProgID="Equation.DSMT4" ShapeID="_x0000_i1027" DrawAspect="Content" ObjectID="_1615406763" r:id="rId16"/>
        </w:object>
      </w:r>
      <w:r w:rsidRPr="00B1388B">
        <w:rPr>
          <w:highlight w:val="cyan"/>
          <w:lang w:val="en-US"/>
        </w:rPr>
        <w:t xml:space="preserve"> </w:t>
      </w:r>
    </w:p>
    <w:p w14:paraId="7B59CF6E" w14:textId="77777777" w:rsidR="00B1388B" w:rsidRPr="00B1388B" w:rsidRDefault="00B1388B" w:rsidP="00B1388B">
      <w:pPr>
        <w:numPr>
          <w:ilvl w:val="1"/>
          <w:numId w:val="43"/>
        </w:numPr>
        <w:rPr>
          <w:lang w:val="en-US"/>
        </w:rPr>
      </w:pPr>
      <w:r w:rsidRPr="00B1388B">
        <w:rPr>
          <w:lang w:val="en-US"/>
        </w:rPr>
        <w:t xml:space="preserve">FFS: Further down selection of supported combinations of FD compression parameters  </w:t>
      </w:r>
    </w:p>
    <w:p w14:paraId="16C705CF" w14:textId="77777777" w:rsidR="0038549E" w:rsidRPr="00B1388B" w:rsidRDefault="0038549E" w:rsidP="0038549E">
      <w:pPr>
        <w:rPr>
          <w:lang w:val="en-US"/>
        </w:rPr>
      </w:pPr>
      <w:r w:rsidRPr="00B1388B">
        <w:rPr>
          <w:b/>
          <w:highlight w:val="green"/>
          <w:lang w:val="en-US"/>
        </w:rPr>
        <w:t>Agreement</w:t>
      </w:r>
    </w:p>
    <w:p w14:paraId="446DB12F" w14:textId="77777777" w:rsidR="0038549E" w:rsidRPr="0038549E" w:rsidRDefault="0038549E" w:rsidP="0038549E">
      <w:pPr>
        <w:rPr>
          <w:lang w:val="en-US"/>
        </w:rPr>
      </w:pPr>
      <w:r w:rsidRPr="0038549E">
        <w:rPr>
          <w:lang w:val="en-US"/>
        </w:rPr>
        <w:t>On subset selection for RI=2, agree on the following</w:t>
      </w:r>
    </w:p>
    <w:p w14:paraId="3F3330B7" w14:textId="77777777" w:rsidR="0038549E" w:rsidRPr="0038549E" w:rsidRDefault="0038549E" w:rsidP="0038549E">
      <w:pPr>
        <w:numPr>
          <w:ilvl w:val="0"/>
          <w:numId w:val="44"/>
        </w:numPr>
        <w:rPr>
          <w:lang w:val="en-US"/>
        </w:rPr>
      </w:pPr>
      <w:r w:rsidRPr="0038549E">
        <w:rPr>
          <w:iCs/>
          <w:lang w:val="en-US"/>
        </w:rPr>
        <w:t>SD basis selection (selection of L out of N1N2 SD DFT vectors) is layer-common</w:t>
      </w:r>
    </w:p>
    <w:p w14:paraId="29E0B1C0" w14:textId="77777777" w:rsidR="0038549E" w:rsidRPr="0038549E" w:rsidRDefault="0038549E" w:rsidP="0038549E">
      <w:pPr>
        <w:numPr>
          <w:ilvl w:val="0"/>
          <w:numId w:val="44"/>
        </w:numPr>
        <w:rPr>
          <w:lang w:val="en-US"/>
        </w:rPr>
      </w:pPr>
      <w:r w:rsidRPr="0038549E">
        <w:rPr>
          <w:iCs/>
          <w:lang w:val="en-US"/>
        </w:rPr>
        <w:t>Terms:</w:t>
      </w:r>
    </w:p>
    <w:p w14:paraId="2C0FE15A" w14:textId="77777777" w:rsidR="0038549E" w:rsidRPr="0038549E" w:rsidRDefault="0038549E" w:rsidP="0038549E">
      <w:pPr>
        <w:numPr>
          <w:ilvl w:val="1"/>
          <w:numId w:val="45"/>
        </w:numPr>
      </w:pPr>
      <w:r w:rsidRPr="0038549E">
        <w:rPr>
          <w:i/>
          <w:iCs/>
        </w:rPr>
        <w:t>“FD basis subset selection” refers to the selection of M out of N</w:t>
      </w:r>
      <w:r w:rsidRPr="0038549E">
        <w:rPr>
          <w:i/>
          <w:iCs/>
          <w:vertAlign w:val="subscript"/>
        </w:rPr>
        <w:t>3</w:t>
      </w:r>
      <w:r w:rsidRPr="0038549E">
        <w:rPr>
          <w:i/>
          <w:iCs/>
        </w:rPr>
        <w:t xml:space="preserve"> FD DFT vectors</w:t>
      </w:r>
    </w:p>
    <w:p w14:paraId="784501EC" w14:textId="77777777" w:rsidR="0038549E" w:rsidRPr="0038549E" w:rsidRDefault="0038549E" w:rsidP="0038549E">
      <w:pPr>
        <w:numPr>
          <w:ilvl w:val="1"/>
          <w:numId w:val="45"/>
        </w:numPr>
      </w:pPr>
      <w:r w:rsidRPr="0038549E">
        <w:rPr>
          <w:i/>
          <w:iCs/>
        </w:rPr>
        <w:t>“Coefficient subset selection” refers to the selection of K</w:t>
      </w:r>
      <w:r w:rsidRPr="0038549E">
        <w:rPr>
          <w:i/>
          <w:iCs/>
          <w:vertAlign w:val="subscript"/>
        </w:rPr>
        <w:t>NZ</w:t>
      </w:r>
      <w:r w:rsidRPr="0038549E">
        <w:rPr>
          <w:i/>
          <w:iCs/>
        </w:rPr>
        <w:t xml:space="preserve"> (# non-zero coefficients) out of 2LM where K</w:t>
      </w:r>
      <w:r w:rsidRPr="0038549E">
        <w:rPr>
          <w:i/>
          <w:iCs/>
          <w:vertAlign w:val="subscript"/>
        </w:rPr>
        <w:t>NZ</w:t>
      </w:r>
      <w:r w:rsidRPr="0038549E">
        <w:rPr>
          <w:i/>
          <w:iCs/>
        </w:rPr>
        <w:t xml:space="preserve"> ≤ K</w:t>
      </w:r>
      <w:r w:rsidRPr="0038549E">
        <w:rPr>
          <w:i/>
          <w:iCs/>
          <w:vertAlign w:val="subscript"/>
        </w:rPr>
        <w:t>0</w:t>
      </w:r>
    </w:p>
    <w:p w14:paraId="0A67BED6" w14:textId="77777777" w:rsidR="0038549E" w:rsidRPr="0038549E" w:rsidRDefault="0038549E" w:rsidP="0038549E">
      <w:pPr>
        <w:numPr>
          <w:ilvl w:val="0"/>
          <w:numId w:val="44"/>
        </w:numPr>
        <w:rPr>
          <w:lang w:val="en-US"/>
        </w:rPr>
      </w:pPr>
      <w:r w:rsidRPr="0038549E">
        <w:rPr>
          <w:lang w:val="en-US"/>
        </w:rPr>
        <w:t>The size-K</w:t>
      </w:r>
      <w:r w:rsidRPr="0038549E">
        <w:rPr>
          <w:vertAlign w:val="subscript"/>
          <w:lang w:val="en-US"/>
        </w:rPr>
        <w:t>0</w:t>
      </w:r>
      <w:r w:rsidRPr="0038549E">
        <w:rPr>
          <w:lang w:val="en-US"/>
        </w:rPr>
        <w:t xml:space="preserve"> subset design for layer 0 is also applied to layer 1</w:t>
      </w:r>
    </w:p>
    <w:p w14:paraId="4910D436" w14:textId="77777777" w:rsidR="0038549E" w:rsidRPr="0038549E" w:rsidRDefault="0038549E" w:rsidP="0038549E">
      <w:pPr>
        <w:numPr>
          <w:ilvl w:val="0"/>
          <w:numId w:val="44"/>
        </w:numPr>
        <w:rPr>
          <w:iCs/>
          <w:lang w:val="en-US"/>
        </w:rPr>
      </w:pPr>
      <w:r w:rsidRPr="0038549E">
        <w:rPr>
          <w:iCs/>
          <w:lang w:val="en-US"/>
        </w:rPr>
        <w:t>K</w:t>
      </w:r>
      <w:r w:rsidRPr="0038549E">
        <w:rPr>
          <w:iCs/>
          <w:vertAlign w:val="subscript"/>
          <w:lang w:val="en-US"/>
        </w:rPr>
        <w:t>0</w:t>
      </w:r>
      <w:r w:rsidRPr="0038549E">
        <w:rPr>
          <w:iCs/>
          <w:lang w:val="en-US"/>
        </w:rPr>
        <w:t xml:space="preserve"> is the maximum number of non-zero coefficients for each layer.</w:t>
      </w:r>
    </w:p>
    <w:p w14:paraId="38750C75" w14:textId="2A8319F8" w:rsidR="002B61BD" w:rsidRDefault="002B61BD" w:rsidP="002E66DD">
      <w:pPr>
        <w:rPr>
          <w:lang w:val="en-US"/>
        </w:rPr>
      </w:pPr>
    </w:p>
    <w:p w14:paraId="02881890" w14:textId="3E9177EE" w:rsidR="00023A92" w:rsidRDefault="00023A92" w:rsidP="002E66DD">
      <w:pPr>
        <w:rPr>
          <w:lang w:val="en-US"/>
        </w:rPr>
      </w:pPr>
      <w:r>
        <w:rPr>
          <w:lang w:val="en-US"/>
        </w:rPr>
        <w:lastRenderedPageBreak/>
        <w:t xml:space="preserve">Additionally, </w:t>
      </w:r>
      <w:r w:rsidR="00903FAB">
        <w:rPr>
          <w:lang w:val="en-US"/>
        </w:rPr>
        <w:t>an offline email discussion regarding UCI parameters took place prior to RAN1#96</w:t>
      </w:r>
      <w:r w:rsidR="00551104">
        <w:rPr>
          <w:lang w:val="en-US"/>
        </w:rPr>
        <w:t xml:space="preserve">bis, which summarized the agreed </w:t>
      </w:r>
      <w:r w:rsidR="00D527D7">
        <w:rPr>
          <w:lang w:val="en-US"/>
        </w:rPr>
        <w:t>and proposed UCI parameters as follows:</w:t>
      </w:r>
    </w:p>
    <w:p w14:paraId="40D24C31" w14:textId="5598D9C5" w:rsidR="00D527D7" w:rsidRDefault="00D527D7" w:rsidP="00D527D7">
      <w:pPr>
        <w:pStyle w:val="Caption"/>
        <w:rPr>
          <w:sz w:val="22"/>
          <w:szCs w:val="22"/>
          <w:lang w:eastAsia="en-US"/>
        </w:rPr>
      </w:pPr>
      <w:bookmarkStart w:id="0" w:name="_Ref4589876"/>
      <w:r>
        <w:rPr>
          <w:b w:val="0"/>
          <w:i/>
        </w:rPr>
        <w:t xml:space="preserve">Table </w:t>
      </w:r>
      <w:r>
        <w:fldChar w:fldCharType="begin"/>
      </w:r>
      <w:r>
        <w:rPr>
          <w:b w:val="0"/>
          <w:i/>
        </w:rPr>
        <w:instrText xml:space="preserve"> SEQ Table \* ARABIC </w:instrText>
      </w:r>
      <w:r>
        <w:fldChar w:fldCharType="separate"/>
      </w:r>
      <w:r w:rsidR="000D32A3">
        <w:rPr>
          <w:b w:val="0"/>
          <w:i/>
          <w:noProof/>
        </w:rPr>
        <w:t>1</w:t>
      </w:r>
      <w:r>
        <w:fldChar w:fldCharType="end"/>
      </w:r>
      <w:bookmarkEnd w:id="0"/>
      <w:r>
        <w:rPr>
          <w:b w:val="0"/>
          <w:i/>
        </w:rPr>
        <w:t xml:space="preserve"> List of agreed UCI parameters</w:t>
      </w:r>
    </w:p>
    <w:tbl>
      <w:tblPr>
        <w:tblStyle w:val="TableGrid"/>
        <w:tblW w:w="9355" w:type="dxa"/>
        <w:tblLook w:val="04A0" w:firstRow="1" w:lastRow="0" w:firstColumn="1" w:lastColumn="0" w:noHBand="0" w:noVBand="1"/>
      </w:tblPr>
      <w:tblGrid>
        <w:gridCol w:w="1885"/>
        <w:gridCol w:w="2340"/>
        <w:gridCol w:w="5130"/>
      </w:tblGrid>
      <w:tr w:rsidR="00D527D7" w14:paraId="4ECEA8B0" w14:textId="77777777" w:rsidTr="00D527D7">
        <w:tc>
          <w:tcPr>
            <w:tcW w:w="1885" w:type="dxa"/>
            <w:tcBorders>
              <w:top w:val="single" w:sz="4" w:space="0" w:color="auto"/>
              <w:left w:val="single" w:sz="4" w:space="0" w:color="auto"/>
              <w:bottom w:val="single" w:sz="4" w:space="0" w:color="auto"/>
              <w:right w:val="single" w:sz="4" w:space="0" w:color="auto"/>
            </w:tcBorders>
            <w:shd w:val="clear" w:color="auto" w:fill="FFFF00"/>
            <w:hideMark/>
          </w:tcPr>
          <w:p w14:paraId="5EC1C519" w14:textId="77777777" w:rsidR="00D527D7" w:rsidRDefault="00D527D7">
            <w:pPr>
              <w:rPr>
                <w:b/>
                <w:szCs w:val="22"/>
              </w:rPr>
            </w:pPr>
            <w:r>
              <w:rPr>
                <w:b/>
                <w:szCs w:val="22"/>
              </w:rPr>
              <w:t>Parameter</w:t>
            </w:r>
          </w:p>
        </w:tc>
        <w:tc>
          <w:tcPr>
            <w:tcW w:w="2340" w:type="dxa"/>
            <w:tcBorders>
              <w:top w:val="single" w:sz="4" w:space="0" w:color="auto"/>
              <w:left w:val="single" w:sz="4" w:space="0" w:color="auto"/>
              <w:bottom w:val="single" w:sz="4" w:space="0" w:color="auto"/>
              <w:right w:val="single" w:sz="4" w:space="0" w:color="auto"/>
            </w:tcBorders>
            <w:shd w:val="clear" w:color="auto" w:fill="FFFF00"/>
            <w:hideMark/>
          </w:tcPr>
          <w:p w14:paraId="4AB32CFE" w14:textId="77777777" w:rsidR="00D527D7" w:rsidRDefault="00D527D7">
            <w:pPr>
              <w:rPr>
                <w:b/>
                <w:szCs w:val="22"/>
              </w:rPr>
            </w:pPr>
            <w:r>
              <w:rPr>
                <w:b/>
                <w:szCs w:val="22"/>
              </w:rPr>
              <w:t xml:space="preserve">Location </w:t>
            </w:r>
          </w:p>
        </w:tc>
        <w:tc>
          <w:tcPr>
            <w:tcW w:w="5130" w:type="dxa"/>
            <w:tcBorders>
              <w:top w:val="single" w:sz="4" w:space="0" w:color="auto"/>
              <w:left w:val="single" w:sz="4" w:space="0" w:color="auto"/>
              <w:bottom w:val="single" w:sz="4" w:space="0" w:color="auto"/>
              <w:right w:val="single" w:sz="4" w:space="0" w:color="auto"/>
            </w:tcBorders>
            <w:shd w:val="clear" w:color="auto" w:fill="FFFF00"/>
            <w:hideMark/>
          </w:tcPr>
          <w:p w14:paraId="56D1EF1A" w14:textId="77777777" w:rsidR="00D527D7" w:rsidRDefault="00D527D7">
            <w:pPr>
              <w:rPr>
                <w:b/>
                <w:szCs w:val="22"/>
              </w:rPr>
            </w:pPr>
            <w:r>
              <w:rPr>
                <w:b/>
                <w:szCs w:val="22"/>
              </w:rPr>
              <w:t>Details/description</w:t>
            </w:r>
          </w:p>
        </w:tc>
      </w:tr>
      <w:tr w:rsidR="00D527D7" w:rsidRPr="00D527D7" w14:paraId="1750A6A1" w14:textId="77777777" w:rsidTr="00D527D7">
        <w:tc>
          <w:tcPr>
            <w:tcW w:w="1885" w:type="dxa"/>
            <w:tcBorders>
              <w:top w:val="single" w:sz="4" w:space="0" w:color="auto"/>
              <w:left w:val="single" w:sz="4" w:space="0" w:color="auto"/>
              <w:bottom w:val="single" w:sz="4" w:space="0" w:color="auto"/>
              <w:right w:val="single" w:sz="4" w:space="0" w:color="auto"/>
            </w:tcBorders>
            <w:hideMark/>
          </w:tcPr>
          <w:p w14:paraId="692A4585" w14:textId="77777777" w:rsidR="00D527D7" w:rsidRDefault="00D527D7">
            <w:pPr>
              <w:rPr>
                <w:szCs w:val="22"/>
              </w:rPr>
            </w:pPr>
            <w:r>
              <w:rPr>
                <w:szCs w:val="22"/>
              </w:rPr>
              <w:t># NZ coefficients</w:t>
            </w:r>
          </w:p>
        </w:tc>
        <w:tc>
          <w:tcPr>
            <w:tcW w:w="2340" w:type="dxa"/>
            <w:tcBorders>
              <w:top w:val="single" w:sz="4" w:space="0" w:color="auto"/>
              <w:left w:val="single" w:sz="4" w:space="0" w:color="auto"/>
              <w:bottom w:val="single" w:sz="4" w:space="0" w:color="auto"/>
              <w:right w:val="single" w:sz="4" w:space="0" w:color="auto"/>
            </w:tcBorders>
            <w:hideMark/>
          </w:tcPr>
          <w:p w14:paraId="15B9FA80" w14:textId="77777777" w:rsidR="00D527D7" w:rsidRDefault="00D527D7">
            <w:pPr>
              <w:rPr>
                <w:szCs w:val="22"/>
              </w:rPr>
            </w:pPr>
            <w:r>
              <w:rPr>
                <w:szCs w:val="22"/>
              </w:rPr>
              <w:t>UCI part 1</w:t>
            </w:r>
          </w:p>
        </w:tc>
        <w:tc>
          <w:tcPr>
            <w:tcW w:w="5130" w:type="dxa"/>
            <w:tcBorders>
              <w:top w:val="single" w:sz="4" w:space="0" w:color="auto"/>
              <w:left w:val="single" w:sz="4" w:space="0" w:color="auto"/>
              <w:bottom w:val="single" w:sz="4" w:space="0" w:color="auto"/>
              <w:right w:val="single" w:sz="4" w:space="0" w:color="auto"/>
            </w:tcBorders>
            <w:hideMark/>
          </w:tcPr>
          <w:p w14:paraId="1ACBCBA8" w14:textId="77777777" w:rsidR="00D527D7" w:rsidRDefault="00D527D7">
            <w:pPr>
              <w:rPr>
                <w:szCs w:val="22"/>
                <w:highlight w:val="cyan"/>
              </w:rPr>
            </w:pPr>
            <w:r>
              <w:rPr>
                <w:szCs w:val="22"/>
                <w:highlight w:val="cyan"/>
              </w:rPr>
              <w:t>FFS:</w:t>
            </w:r>
            <w:r>
              <w:rPr>
                <w:szCs w:val="22"/>
              </w:rPr>
              <w:t xml:space="preserve"> Exact design (joint or separate across layer)</w:t>
            </w:r>
          </w:p>
        </w:tc>
      </w:tr>
      <w:tr w:rsidR="00D527D7" w14:paraId="7043C1E2" w14:textId="77777777" w:rsidTr="00D527D7">
        <w:tc>
          <w:tcPr>
            <w:tcW w:w="1885" w:type="dxa"/>
            <w:tcBorders>
              <w:top w:val="single" w:sz="4" w:space="0" w:color="auto"/>
              <w:left w:val="single" w:sz="4" w:space="0" w:color="auto"/>
              <w:bottom w:val="single" w:sz="4" w:space="0" w:color="auto"/>
              <w:right w:val="single" w:sz="4" w:space="0" w:color="auto"/>
            </w:tcBorders>
            <w:hideMark/>
          </w:tcPr>
          <w:p w14:paraId="0C15239E" w14:textId="77777777" w:rsidR="00D527D7" w:rsidRDefault="00D527D7">
            <w:pPr>
              <w:rPr>
                <w:szCs w:val="22"/>
              </w:rPr>
            </w:pPr>
            <w:r>
              <w:rPr>
                <w:szCs w:val="22"/>
              </w:rPr>
              <w:t>Wideband CQI</w:t>
            </w:r>
          </w:p>
        </w:tc>
        <w:tc>
          <w:tcPr>
            <w:tcW w:w="2340" w:type="dxa"/>
            <w:tcBorders>
              <w:top w:val="single" w:sz="4" w:space="0" w:color="auto"/>
              <w:left w:val="single" w:sz="4" w:space="0" w:color="auto"/>
              <w:bottom w:val="single" w:sz="4" w:space="0" w:color="auto"/>
              <w:right w:val="single" w:sz="4" w:space="0" w:color="auto"/>
            </w:tcBorders>
            <w:hideMark/>
          </w:tcPr>
          <w:p w14:paraId="22040F8F" w14:textId="77777777" w:rsidR="00D527D7" w:rsidRDefault="00D527D7">
            <w:pPr>
              <w:rPr>
                <w:szCs w:val="22"/>
              </w:rPr>
            </w:pPr>
            <w:r>
              <w:rPr>
                <w:szCs w:val="22"/>
              </w:rPr>
              <w:t>UCI part 1</w:t>
            </w:r>
          </w:p>
        </w:tc>
        <w:tc>
          <w:tcPr>
            <w:tcW w:w="5130" w:type="dxa"/>
            <w:tcBorders>
              <w:top w:val="single" w:sz="4" w:space="0" w:color="auto"/>
              <w:left w:val="single" w:sz="4" w:space="0" w:color="auto"/>
              <w:bottom w:val="single" w:sz="4" w:space="0" w:color="auto"/>
              <w:right w:val="single" w:sz="4" w:space="0" w:color="auto"/>
            </w:tcBorders>
            <w:hideMark/>
          </w:tcPr>
          <w:p w14:paraId="10D5AC68" w14:textId="77777777" w:rsidR="00D527D7" w:rsidRDefault="00D527D7">
            <w:pPr>
              <w:rPr>
                <w:szCs w:val="22"/>
              </w:rPr>
            </w:pPr>
            <w:r>
              <w:rPr>
                <w:szCs w:val="22"/>
              </w:rPr>
              <w:t>Same as R15</w:t>
            </w:r>
          </w:p>
        </w:tc>
      </w:tr>
      <w:tr w:rsidR="00D527D7" w14:paraId="494955BD" w14:textId="77777777" w:rsidTr="00D527D7">
        <w:tc>
          <w:tcPr>
            <w:tcW w:w="1885" w:type="dxa"/>
            <w:tcBorders>
              <w:top w:val="single" w:sz="4" w:space="0" w:color="auto"/>
              <w:left w:val="single" w:sz="4" w:space="0" w:color="auto"/>
              <w:bottom w:val="single" w:sz="4" w:space="0" w:color="auto"/>
              <w:right w:val="single" w:sz="4" w:space="0" w:color="auto"/>
            </w:tcBorders>
            <w:hideMark/>
          </w:tcPr>
          <w:p w14:paraId="7271EC77" w14:textId="77777777" w:rsidR="00D527D7" w:rsidRDefault="00D527D7">
            <w:pPr>
              <w:rPr>
                <w:szCs w:val="22"/>
              </w:rPr>
            </w:pPr>
            <w:r>
              <w:rPr>
                <w:szCs w:val="22"/>
              </w:rPr>
              <w:t>Subband CQI</w:t>
            </w:r>
          </w:p>
        </w:tc>
        <w:tc>
          <w:tcPr>
            <w:tcW w:w="2340" w:type="dxa"/>
            <w:tcBorders>
              <w:top w:val="single" w:sz="4" w:space="0" w:color="auto"/>
              <w:left w:val="single" w:sz="4" w:space="0" w:color="auto"/>
              <w:bottom w:val="single" w:sz="4" w:space="0" w:color="auto"/>
              <w:right w:val="single" w:sz="4" w:space="0" w:color="auto"/>
            </w:tcBorders>
            <w:hideMark/>
          </w:tcPr>
          <w:p w14:paraId="17898AB1" w14:textId="77777777" w:rsidR="00D527D7" w:rsidRDefault="00D527D7">
            <w:pPr>
              <w:rPr>
                <w:szCs w:val="22"/>
              </w:rPr>
            </w:pPr>
            <w:r>
              <w:rPr>
                <w:szCs w:val="22"/>
              </w:rPr>
              <w:t>UCI part 1</w:t>
            </w:r>
          </w:p>
        </w:tc>
        <w:tc>
          <w:tcPr>
            <w:tcW w:w="5130" w:type="dxa"/>
            <w:tcBorders>
              <w:top w:val="single" w:sz="4" w:space="0" w:color="auto"/>
              <w:left w:val="single" w:sz="4" w:space="0" w:color="auto"/>
              <w:bottom w:val="single" w:sz="4" w:space="0" w:color="auto"/>
              <w:right w:val="single" w:sz="4" w:space="0" w:color="auto"/>
            </w:tcBorders>
            <w:hideMark/>
          </w:tcPr>
          <w:p w14:paraId="129A6CB7" w14:textId="77777777" w:rsidR="00D527D7" w:rsidRDefault="00D527D7">
            <w:pPr>
              <w:rPr>
                <w:szCs w:val="22"/>
              </w:rPr>
            </w:pPr>
            <w:r>
              <w:rPr>
                <w:szCs w:val="22"/>
              </w:rPr>
              <w:t>Same as R15</w:t>
            </w:r>
          </w:p>
        </w:tc>
      </w:tr>
      <w:tr w:rsidR="00D527D7" w:rsidRPr="00D527D7" w14:paraId="522C5196" w14:textId="77777777" w:rsidTr="00D527D7">
        <w:tc>
          <w:tcPr>
            <w:tcW w:w="1885" w:type="dxa"/>
            <w:tcBorders>
              <w:top w:val="single" w:sz="4" w:space="0" w:color="auto"/>
              <w:left w:val="single" w:sz="4" w:space="0" w:color="auto"/>
              <w:bottom w:val="single" w:sz="4" w:space="0" w:color="auto"/>
              <w:right w:val="single" w:sz="4" w:space="0" w:color="auto"/>
            </w:tcBorders>
            <w:hideMark/>
          </w:tcPr>
          <w:p w14:paraId="1D6B026A" w14:textId="77777777" w:rsidR="00D527D7" w:rsidRDefault="00D527D7">
            <w:pPr>
              <w:rPr>
                <w:szCs w:val="22"/>
              </w:rPr>
            </w:pPr>
            <w:r>
              <w:rPr>
                <w:szCs w:val="22"/>
              </w:rPr>
              <w:t>Bitmap per layer</w:t>
            </w:r>
          </w:p>
        </w:tc>
        <w:tc>
          <w:tcPr>
            <w:tcW w:w="2340" w:type="dxa"/>
            <w:tcBorders>
              <w:top w:val="single" w:sz="4" w:space="0" w:color="auto"/>
              <w:left w:val="single" w:sz="4" w:space="0" w:color="auto"/>
              <w:bottom w:val="single" w:sz="4" w:space="0" w:color="auto"/>
              <w:right w:val="single" w:sz="4" w:space="0" w:color="auto"/>
            </w:tcBorders>
            <w:hideMark/>
          </w:tcPr>
          <w:p w14:paraId="2D484C50" w14:textId="77777777" w:rsidR="00D527D7" w:rsidRDefault="00D527D7">
            <w:pPr>
              <w:rPr>
                <w:szCs w:val="22"/>
              </w:rPr>
            </w:pPr>
            <w:r>
              <w:rPr>
                <w:szCs w:val="22"/>
              </w:rPr>
              <w:t>UCI part 2</w:t>
            </w:r>
          </w:p>
        </w:tc>
        <w:tc>
          <w:tcPr>
            <w:tcW w:w="5130" w:type="dxa"/>
            <w:tcBorders>
              <w:top w:val="single" w:sz="4" w:space="0" w:color="auto"/>
              <w:left w:val="single" w:sz="4" w:space="0" w:color="auto"/>
              <w:bottom w:val="single" w:sz="4" w:space="0" w:color="auto"/>
              <w:right w:val="single" w:sz="4" w:space="0" w:color="auto"/>
            </w:tcBorders>
            <w:hideMark/>
          </w:tcPr>
          <w:p w14:paraId="49A46E8E" w14:textId="77777777" w:rsidR="00D527D7" w:rsidRDefault="00D527D7">
            <w:pPr>
              <w:rPr>
                <w:szCs w:val="24"/>
                <w:lang w:eastAsia="x-none"/>
              </w:rPr>
            </w:pPr>
            <w:r>
              <w:t xml:space="preserve">RI=1-2: for layer </w:t>
            </w:r>
            <w:r>
              <w:rPr>
                <w:i/>
              </w:rPr>
              <w:t>l</w:t>
            </w:r>
            <w:r>
              <w:t>, size-</w:t>
            </w:r>
            <m:oMath>
              <m:r>
                <w:rPr>
                  <w:rFonts w:ascii="Cambria Math" w:hAnsi="Cambria Math"/>
                </w:rPr>
                <m:t>2</m:t>
              </m:r>
              <m:sSub>
                <m:sSubPr>
                  <m:ctrlPr>
                    <w:rPr>
                      <w:rFonts w:ascii="Cambria Math" w:eastAsia="Batang" w:hAnsi="Cambria Math"/>
                      <w:i/>
                      <w:szCs w:val="24"/>
                      <w:lang w:eastAsia="x-none"/>
                    </w:rPr>
                  </m:ctrlPr>
                </m:sSubPr>
                <m:e>
                  <m:r>
                    <w:rPr>
                      <w:rFonts w:ascii="Cambria Math" w:hAnsi="Cambria Math"/>
                    </w:rPr>
                    <m:t>L</m:t>
                  </m:r>
                </m:e>
                <m:sub>
                  <m:r>
                    <w:rPr>
                      <w:rFonts w:ascii="Cambria Math" w:hAnsi="Cambria Math"/>
                    </w:rPr>
                    <m:t>l</m:t>
                  </m:r>
                </m:sub>
              </m:sSub>
              <m:sSub>
                <m:sSubPr>
                  <m:ctrlPr>
                    <w:rPr>
                      <w:rFonts w:ascii="Cambria Math" w:eastAsia="Batang" w:hAnsi="Cambria Math"/>
                      <w:i/>
                      <w:szCs w:val="24"/>
                      <w:lang w:eastAsia="x-none"/>
                    </w:rPr>
                  </m:ctrlPr>
                </m:sSubPr>
                <m:e>
                  <m:r>
                    <w:rPr>
                      <w:rFonts w:ascii="Cambria Math" w:hAnsi="Cambria Math"/>
                    </w:rPr>
                    <m:t>M</m:t>
                  </m:r>
                </m:e>
                <m:sub>
                  <m:r>
                    <w:rPr>
                      <w:rFonts w:ascii="Cambria Math" w:hAnsi="Cambria Math"/>
                    </w:rPr>
                    <m:t>l</m:t>
                  </m:r>
                </m:sub>
              </m:sSub>
            </m:oMath>
          </w:p>
          <w:p w14:paraId="44322117" w14:textId="77777777" w:rsidR="00D527D7" w:rsidRDefault="00D527D7">
            <w:pPr>
              <w:rPr>
                <w:szCs w:val="22"/>
                <w:lang w:eastAsia="en-US"/>
              </w:rPr>
            </w:pPr>
            <w:r>
              <w:rPr>
                <w:highlight w:val="cyan"/>
                <w:lang w:eastAsia="x-none"/>
              </w:rPr>
              <w:t>FFS</w:t>
            </w:r>
            <w:r>
              <w:rPr>
                <w:lang w:eastAsia="x-none"/>
              </w:rPr>
              <w:t>: exact design for RI=3-4 (depending on subset selection)</w:t>
            </w:r>
          </w:p>
        </w:tc>
      </w:tr>
      <w:tr w:rsidR="00D527D7" w:rsidRPr="00D527D7" w14:paraId="5D8D67D8" w14:textId="77777777" w:rsidTr="00D527D7">
        <w:tc>
          <w:tcPr>
            <w:tcW w:w="1885" w:type="dxa"/>
            <w:tcBorders>
              <w:top w:val="single" w:sz="4" w:space="0" w:color="auto"/>
              <w:left w:val="single" w:sz="4" w:space="0" w:color="auto"/>
              <w:bottom w:val="single" w:sz="4" w:space="0" w:color="auto"/>
              <w:right w:val="single" w:sz="4" w:space="0" w:color="auto"/>
            </w:tcBorders>
            <w:hideMark/>
          </w:tcPr>
          <w:p w14:paraId="0942C65B" w14:textId="77777777" w:rsidR="00D527D7" w:rsidRDefault="00D527D7">
            <w:pPr>
              <w:rPr>
                <w:szCs w:val="22"/>
              </w:rPr>
            </w:pPr>
            <w:r>
              <w:rPr>
                <w:szCs w:val="22"/>
              </w:rPr>
              <w:t>Strongest coefficient indicator (SCI)</w:t>
            </w:r>
          </w:p>
        </w:tc>
        <w:tc>
          <w:tcPr>
            <w:tcW w:w="2340" w:type="dxa"/>
            <w:tcBorders>
              <w:top w:val="single" w:sz="4" w:space="0" w:color="auto"/>
              <w:left w:val="single" w:sz="4" w:space="0" w:color="auto"/>
              <w:bottom w:val="single" w:sz="4" w:space="0" w:color="auto"/>
              <w:right w:val="single" w:sz="4" w:space="0" w:color="auto"/>
            </w:tcBorders>
            <w:hideMark/>
          </w:tcPr>
          <w:p w14:paraId="61C042E2" w14:textId="77777777" w:rsidR="00D527D7" w:rsidRDefault="00D527D7">
            <w:pPr>
              <w:rPr>
                <w:szCs w:val="22"/>
              </w:rPr>
            </w:pPr>
            <w:r>
              <w:rPr>
                <w:szCs w:val="22"/>
              </w:rPr>
              <w:t>UCI part 2</w:t>
            </w:r>
          </w:p>
        </w:tc>
        <w:tc>
          <w:tcPr>
            <w:tcW w:w="5130" w:type="dxa"/>
            <w:tcBorders>
              <w:top w:val="single" w:sz="4" w:space="0" w:color="auto"/>
              <w:left w:val="single" w:sz="4" w:space="0" w:color="auto"/>
              <w:bottom w:val="single" w:sz="4" w:space="0" w:color="auto"/>
              <w:right w:val="single" w:sz="4" w:space="0" w:color="auto"/>
            </w:tcBorders>
            <w:hideMark/>
          </w:tcPr>
          <w:p w14:paraId="27D2D04A" w14:textId="77777777" w:rsidR="00D527D7" w:rsidRDefault="00D527D7">
            <w:pPr>
              <w:rPr>
                <w:szCs w:val="22"/>
              </w:rPr>
            </w:pPr>
            <w:r>
              <w:rPr>
                <w:szCs w:val="22"/>
                <w:highlight w:val="cyan"/>
              </w:rPr>
              <w:t>FFS</w:t>
            </w:r>
            <w:r>
              <w:rPr>
                <w:szCs w:val="22"/>
              </w:rPr>
              <w:t>: Exact design for all layers (bitwidth, etc.)</w:t>
            </w:r>
          </w:p>
        </w:tc>
      </w:tr>
      <w:tr w:rsidR="00D527D7" w:rsidRPr="00D527D7" w14:paraId="22AD863B" w14:textId="77777777" w:rsidTr="00D527D7">
        <w:tc>
          <w:tcPr>
            <w:tcW w:w="1885" w:type="dxa"/>
            <w:tcBorders>
              <w:top w:val="single" w:sz="4" w:space="0" w:color="auto"/>
              <w:left w:val="single" w:sz="4" w:space="0" w:color="auto"/>
              <w:bottom w:val="single" w:sz="4" w:space="0" w:color="auto"/>
              <w:right w:val="single" w:sz="4" w:space="0" w:color="auto"/>
            </w:tcBorders>
            <w:hideMark/>
          </w:tcPr>
          <w:p w14:paraId="14D5B5D1" w14:textId="77777777" w:rsidR="00D527D7" w:rsidRDefault="00D527D7">
            <w:pPr>
              <w:rPr>
                <w:szCs w:val="22"/>
              </w:rPr>
            </w:pPr>
            <w:r>
              <w:rPr>
                <w:szCs w:val="22"/>
              </w:rPr>
              <w:t xml:space="preserve">SD basis subset selection indicator </w:t>
            </w:r>
          </w:p>
        </w:tc>
        <w:tc>
          <w:tcPr>
            <w:tcW w:w="2340" w:type="dxa"/>
            <w:tcBorders>
              <w:top w:val="single" w:sz="4" w:space="0" w:color="auto"/>
              <w:left w:val="single" w:sz="4" w:space="0" w:color="auto"/>
              <w:bottom w:val="single" w:sz="4" w:space="0" w:color="auto"/>
              <w:right w:val="single" w:sz="4" w:space="0" w:color="auto"/>
            </w:tcBorders>
            <w:hideMark/>
          </w:tcPr>
          <w:p w14:paraId="65ACDF6D" w14:textId="77777777" w:rsidR="00D527D7" w:rsidRDefault="00D527D7">
            <w:pPr>
              <w:rPr>
                <w:szCs w:val="22"/>
              </w:rPr>
            </w:pPr>
            <w:r>
              <w:rPr>
                <w:szCs w:val="22"/>
              </w:rPr>
              <w:t>UCI part 2</w:t>
            </w:r>
          </w:p>
        </w:tc>
        <w:tc>
          <w:tcPr>
            <w:tcW w:w="5130" w:type="dxa"/>
            <w:tcBorders>
              <w:top w:val="single" w:sz="4" w:space="0" w:color="auto"/>
              <w:left w:val="single" w:sz="4" w:space="0" w:color="auto"/>
              <w:bottom w:val="single" w:sz="4" w:space="0" w:color="auto"/>
              <w:right w:val="single" w:sz="4" w:space="0" w:color="auto"/>
            </w:tcBorders>
            <w:hideMark/>
          </w:tcPr>
          <w:p w14:paraId="340443E5" w14:textId="77777777" w:rsidR="00D527D7" w:rsidRDefault="00D527D7">
            <w:pPr>
              <w:rPr>
                <w:szCs w:val="22"/>
              </w:rPr>
            </w:pPr>
            <w:r>
              <w:rPr>
                <w:szCs w:val="22"/>
                <w:highlight w:val="cyan"/>
              </w:rPr>
              <w:t>FFS</w:t>
            </w:r>
            <w:r>
              <w:rPr>
                <w:szCs w:val="22"/>
              </w:rPr>
              <w:t>: Exact design depending on decision for SD/FD basis parameter setup for RI=3-4</w:t>
            </w:r>
          </w:p>
        </w:tc>
      </w:tr>
      <w:tr w:rsidR="00D527D7" w:rsidRPr="00D527D7" w14:paraId="54AFFDC5" w14:textId="77777777" w:rsidTr="00D527D7">
        <w:tc>
          <w:tcPr>
            <w:tcW w:w="1885" w:type="dxa"/>
            <w:tcBorders>
              <w:top w:val="single" w:sz="4" w:space="0" w:color="auto"/>
              <w:left w:val="single" w:sz="4" w:space="0" w:color="auto"/>
              <w:bottom w:val="single" w:sz="4" w:space="0" w:color="auto"/>
              <w:right w:val="single" w:sz="4" w:space="0" w:color="auto"/>
            </w:tcBorders>
            <w:hideMark/>
          </w:tcPr>
          <w:p w14:paraId="76033755" w14:textId="77777777" w:rsidR="00D527D7" w:rsidRDefault="00D527D7">
            <w:pPr>
              <w:rPr>
                <w:szCs w:val="22"/>
              </w:rPr>
            </w:pPr>
            <w:r>
              <w:rPr>
                <w:szCs w:val="22"/>
              </w:rPr>
              <w:t>FD basis subset selection indicator</w:t>
            </w:r>
          </w:p>
        </w:tc>
        <w:tc>
          <w:tcPr>
            <w:tcW w:w="2340" w:type="dxa"/>
            <w:tcBorders>
              <w:top w:val="single" w:sz="4" w:space="0" w:color="auto"/>
              <w:left w:val="single" w:sz="4" w:space="0" w:color="auto"/>
              <w:bottom w:val="single" w:sz="4" w:space="0" w:color="auto"/>
              <w:right w:val="single" w:sz="4" w:space="0" w:color="auto"/>
            </w:tcBorders>
            <w:hideMark/>
          </w:tcPr>
          <w:p w14:paraId="746EB708" w14:textId="77777777" w:rsidR="00D527D7" w:rsidRDefault="00D527D7">
            <w:pPr>
              <w:rPr>
                <w:szCs w:val="22"/>
              </w:rPr>
            </w:pPr>
            <w:r>
              <w:rPr>
                <w:szCs w:val="22"/>
              </w:rPr>
              <w:t>UCI part 2</w:t>
            </w:r>
          </w:p>
        </w:tc>
        <w:tc>
          <w:tcPr>
            <w:tcW w:w="5130" w:type="dxa"/>
            <w:tcBorders>
              <w:top w:val="single" w:sz="4" w:space="0" w:color="auto"/>
              <w:left w:val="single" w:sz="4" w:space="0" w:color="auto"/>
              <w:bottom w:val="single" w:sz="4" w:space="0" w:color="auto"/>
              <w:right w:val="single" w:sz="4" w:space="0" w:color="auto"/>
            </w:tcBorders>
            <w:hideMark/>
          </w:tcPr>
          <w:p w14:paraId="5670912F" w14:textId="77777777" w:rsidR="00D527D7" w:rsidRDefault="00D527D7">
            <w:pPr>
              <w:rPr>
                <w:szCs w:val="22"/>
              </w:rPr>
            </w:pPr>
            <w:r>
              <w:rPr>
                <w:szCs w:val="22"/>
                <w:highlight w:val="cyan"/>
              </w:rPr>
              <w:t>FFS</w:t>
            </w:r>
            <w:r>
              <w:rPr>
                <w:szCs w:val="22"/>
              </w:rPr>
              <w:t xml:space="preserve">: </w:t>
            </w:r>
          </w:p>
          <w:p w14:paraId="377EABD7" w14:textId="77777777" w:rsidR="00D527D7" w:rsidRDefault="00D527D7" w:rsidP="00D527D7">
            <w:pPr>
              <w:pStyle w:val="ListParagraph"/>
              <w:numPr>
                <w:ilvl w:val="0"/>
                <w:numId w:val="46"/>
              </w:numPr>
              <w:spacing w:after="0"/>
              <w:contextualSpacing w:val="0"/>
              <w:rPr>
                <w:rFonts w:ascii="Times New Roman" w:eastAsiaTheme="minorEastAsia" w:hAnsi="Times New Roman"/>
                <w:szCs w:val="20"/>
                <w:lang w:eastAsia="zh-CN"/>
              </w:rPr>
            </w:pPr>
            <w:r>
              <w:rPr>
                <w:szCs w:val="22"/>
              </w:rPr>
              <w:t xml:space="preserve">Exact design depending on decision for SD/FD basis </w:t>
            </w:r>
            <w:r>
              <w:rPr>
                <w:rFonts w:ascii="Times New Roman" w:hAnsi="Times New Roman"/>
                <w:szCs w:val="20"/>
              </w:rPr>
              <w:t>parameter setup for RI=3-4</w:t>
            </w:r>
            <w:r>
              <w:rPr>
                <w:rFonts w:ascii="Times New Roman" w:eastAsiaTheme="minorEastAsia" w:hAnsi="Times New Roman"/>
                <w:szCs w:val="20"/>
                <w:lang w:eastAsia="zh-CN"/>
              </w:rPr>
              <w:t xml:space="preserve">, </w:t>
            </w:r>
          </w:p>
          <w:p w14:paraId="119322F0" w14:textId="77777777" w:rsidR="00D527D7" w:rsidRDefault="00D527D7" w:rsidP="00D527D7">
            <w:pPr>
              <w:pStyle w:val="ListParagraph"/>
              <w:numPr>
                <w:ilvl w:val="0"/>
                <w:numId w:val="46"/>
              </w:numPr>
              <w:spacing w:after="0"/>
              <w:contextualSpacing w:val="0"/>
              <w:rPr>
                <w:rFonts w:ascii="Times New Roman" w:eastAsiaTheme="minorEastAsia" w:hAnsi="Times New Roman"/>
                <w:szCs w:val="20"/>
                <w:lang w:eastAsia="zh-CN"/>
              </w:rPr>
            </w:pPr>
            <w:r>
              <w:rPr>
                <w:rFonts w:ascii="Times New Roman" w:eastAsiaTheme="minorEastAsia" w:hAnsi="Times New Roman"/>
                <w:szCs w:val="20"/>
                <w:lang w:eastAsia="zh-CN"/>
              </w:rPr>
              <w:t>Impact of the bitwidth if subset restriction is supported.</w:t>
            </w:r>
          </w:p>
        </w:tc>
      </w:tr>
      <w:tr w:rsidR="00D527D7" w14:paraId="0E5DFD7D" w14:textId="77777777" w:rsidTr="00D527D7">
        <w:tc>
          <w:tcPr>
            <w:tcW w:w="1885" w:type="dxa"/>
            <w:tcBorders>
              <w:top w:val="single" w:sz="4" w:space="0" w:color="auto"/>
              <w:left w:val="single" w:sz="4" w:space="0" w:color="auto"/>
              <w:bottom w:val="single" w:sz="4" w:space="0" w:color="auto"/>
              <w:right w:val="single" w:sz="4" w:space="0" w:color="auto"/>
            </w:tcBorders>
            <w:hideMark/>
          </w:tcPr>
          <w:p w14:paraId="7EA74B53" w14:textId="77777777" w:rsidR="00D527D7" w:rsidRDefault="00D527D7">
            <w:pPr>
              <w:rPr>
                <w:rFonts w:ascii="Times" w:eastAsia="Batang" w:hAnsi="Times"/>
                <w:szCs w:val="22"/>
                <w:lang w:eastAsia="en-US"/>
              </w:rPr>
            </w:pPr>
            <w:r>
              <w:rPr>
                <w:szCs w:val="22"/>
              </w:rPr>
              <w:t>LC coefficients: phase</w:t>
            </w:r>
          </w:p>
        </w:tc>
        <w:tc>
          <w:tcPr>
            <w:tcW w:w="2340" w:type="dxa"/>
            <w:tcBorders>
              <w:top w:val="single" w:sz="4" w:space="0" w:color="auto"/>
              <w:left w:val="single" w:sz="4" w:space="0" w:color="auto"/>
              <w:bottom w:val="single" w:sz="4" w:space="0" w:color="auto"/>
              <w:right w:val="single" w:sz="4" w:space="0" w:color="auto"/>
            </w:tcBorders>
            <w:hideMark/>
          </w:tcPr>
          <w:p w14:paraId="7301AA68" w14:textId="77777777" w:rsidR="00D527D7" w:rsidRDefault="00D527D7">
            <w:pPr>
              <w:rPr>
                <w:szCs w:val="22"/>
              </w:rPr>
            </w:pPr>
            <w:r>
              <w:rPr>
                <w:szCs w:val="22"/>
              </w:rPr>
              <w:t>UCI part 2</w:t>
            </w:r>
          </w:p>
        </w:tc>
        <w:tc>
          <w:tcPr>
            <w:tcW w:w="5130" w:type="dxa"/>
            <w:tcBorders>
              <w:top w:val="single" w:sz="4" w:space="0" w:color="auto"/>
              <w:left w:val="single" w:sz="4" w:space="0" w:color="auto"/>
              <w:bottom w:val="single" w:sz="4" w:space="0" w:color="auto"/>
              <w:right w:val="single" w:sz="4" w:space="0" w:color="auto"/>
            </w:tcBorders>
            <w:hideMark/>
          </w:tcPr>
          <w:p w14:paraId="21F35058" w14:textId="77777777" w:rsidR="00D527D7" w:rsidRDefault="00D527D7">
            <w:pPr>
              <w:rPr>
                <w:szCs w:val="22"/>
              </w:rPr>
            </w:pPr>
            <w:r>
              <w:rPr>
                <w:szCs w:val="22"/>
              </w:rPr>
              <w:t>Quantized independently across layers</w:t>
            </w:r>
          </w:p>
        </w:tc>
      </w:tr>
      <w:tr w:rsidR="00D527D7" w:rsidRPr="00D527D7" w14:paraId="776BA836" w14:textId="77777777" w:rsidTr="00D527D7">
        <w:tc>
          <w:tcPr>
            <w:tcW w:w="1885" w:type="dxa"/>
            <w:tcBorders>
              <w:top w:val="single" w:sz="4" w:space="0" w:color="auto"/>
              <w:left w:val="single" w:sz="4" w:space="0" w:color="auto"/>
              <w:bottom w:val="single" w:sz="4" w:space="0" w:color="auto"/>
              <w:right w:val="single" w:sz="4" w:space="0" w:color="auto"/>
            </w:tcBorders>
            <w:hideMark/>
          </w:tcPr>
          <w:p w14:paraId="46D25CC2" w14:textId="77777777" w:rsidR="00D527D7" w:rsidRDefault="00D527D7">
            <w:pPr>
              <w:rPr>
                <w:szCs w:val="22"/>
              </w:rPr>
            </w:pPr>
            <w:r>
              <w:rPr>
                <w:szCs w:val="22"/>
              </w:rPr>
              <w:t>LC coefficients: amplitude</w:t>
            </w:r>
          </w:p>
        </w:tc>
        <w:tc>
          <w:tcPr>
            <w:tcW w:w="2340" w:type="dxa"/>
            <w:tcBorders>
              <w:top w:val="single" w:sz="4" w:space="0" w:color="auto"/>
              <w:left w:val="single" w:sz="4" w:space="0" w:color="auto"/>
              <w:bottom w:val="single" w:sz="4" w:space="0" w:color="auto"/>
              <w:right w:val="single" w:sz="4" w:space="0" w:color="auto"/>
            </w:tcBorders>
            <w:hideMark/>
          </w:tcPr>
          <w:p w14:paraId="0F3D48BC" w14:textId="77777777" w:rsidR="00D527D7" w:rsidRDefault="00D527D7">
            <w:pPr>
              <w:rPr>
                <w:szCs w:val="22"/>
              </w:rPr>
            </w:pPr>
            <w:r>
              <w:rPr>
                <w:szCs w:val="22"/>
              </w:rPr>
              <w:t>UCI part 2</w:t>
            </w:r>
          </w:p>
        </w:tc>
        <w:tc>
          <w:tcPr>
            <w:tcW w:w="5130" w:type="dxa"/>
            <w:tcBorders>
              <w:top w:val="single" w:sz="4" w:space="0" w:color="auto"/>
              <w:left w:val="single" w:sz="4" w:space="0" w:color="auto"/>
              <w:bottom w:val="single" w:sz="4" w:space="0" w:color="auto"/>
              <w:right w:val="single" w:sz="4" w:space="0" w:color="auto"/>
            </w:tcBorders>
            <w:hideMark/>
          </w:tcPr>
          <w:p w14:paraId="3D1C07FF" w14:textId="77777777" w:rsidR="00D527D7" w:rsidRDefault="00D527D7">
            <w:pPr>
              <w:rPr>
                <w:szCs w:val="22"/>
              </w:rPr>
            </w:pPr>
            <w:r>
              <w:rPr>
                <w:szCs w:val="22"/>
              </w:rPr>
              <w:t>Quantized independently across layers (including reference amplitude for weaker polarization, for each layer)</w:t>
            </w:r>
          </w:p>
        </w:tc>
      </w:tr>
    </w:tbl>
    <w:p w14:paraId="78211301" w14:textId="77777777" w:rsidR="00D527D7" w:rsidRDefault="00D527D7" w:rsidP="00D527D7">
      <w:pPr>
        <w:rPr>
          <w:rFonts w:ascii="Times" w:eastAsia="Batang" w:hAnsi="Times"/>
          <w:sz w:val="22"/>
          <w:szCs w:val="22"/>
          <w:lang w:eastAsia="en-US"/>
        </w:rPr>
      </w:pPr>
    </w:p>
    <w:p w14:paraId="011E41B3" w14:textId="75B787FD" w:rsidR="00D527D7" w:rsidRDefault="00D527D7" w:rsidP="00D527D7">
      <w:pPr>
        <w:pStyle w:val="Caption"/>
        <w:rPr>
          <w:i/>
          <w:sz w:val="22"/>
          <w:szCs w:val="22"/>
        </w:rPr>
      </w:pPr>
      <w:bookmarkStart w:id="1" w:name="_Ref4589936"/>
      <w:r>
        <w:rPr>
          <w:b w:val="0"/>
          <w:i/>
        </w:rPr>
        <w:t xml:space="preserve">Table </w:t>
      </w:r>
      <w:r>
        <w:fldChar w:fldCharType="begin"/>
      </w:r>
      <w:r>
        <w:rPr>
          <w:b w:val="0"/>
          <w:i/>
        </w:rPr>
        <w:instrText xml:space="preserve"> SEQ Table \* ARABIC </w:instrText>
      </w:r>
      <w:r>
        <w:fldChar w:fldCharType="separate"/>
      </w:r>
      <w:r w:rsidR="000D32A3">
        <w:rPr>
          <w:b w:val="0"/>
          <w:i/>
          <w:noProof/>
        </w:rPr>
        <w:t>2</w:t>
      </w:r>
      <w:r>
        <w:fldChar w:fldCharType="end"/>
      </w:r>
      <w:bookmarkEnd w:id="1"/>
      <w:r>
        <w:rPr>
          <w:b w:val="0"/>
          <w:i/>
        </w:rPr>
        <w:t xml:space="preserve"> List of UCI parameters for further discussion</w:t>
      </w:r>
    </w:p>
    <w:tbl>
      <w:tblPr>
        <w:tblStyle w:val="TableGrid"/>
        <w:tblW w:w="9355" w:type="dxa"/>
        <w:tblLook w:val="04A0" w:firstRow="1" w:lastRow="0" w:firstColumn="1" w:lastColumn="0" w:noHBand="0" w:noVBand="1"/>
      </w:tblPr>
      <w:tblGrid>
        <w:gridCol w:w="1885"/>
        <w:gridCol w:w="2340"/>
        <w:gridCol w:w="5130"/>
      </w:tblGrid>
      <w:tr w:rsidR="00D527D7" w14:paraId="5E4DA25D" w14:textId="77777777" w:rsidTr="00D527D7">
        <w:tc>
          <w:tcPr>
            <w:tcW w:w="1885" w:type="dxa"/>
            <w:tcBorders>
              <w:top w:val="single" w:sz="4" w:space="0" w:color="auto"/>
              <w:left w:val="single" w:sz="4" w:space="0" w:color="auto"/>
              <w:bottom w:val="single" w:sz="4" w:space="0" w:color="auto"/>
              <w:right w:val="single" w:sz="4" w:space="0" w:color="auto"/>
            </w:tcBorders>
            <w:shd w:val="clear" w:color="auto" w:fill="FFFF00"/>
            <w:hideMark/>
          </w:tcPr>
          <w:p w14:paraId="00CB2096" w14:textId="77777777" w:rsidR="00D527D7" w:rsidRDefault="00D527D7">
            <w:pPr>
              <w:rPr>
                <w:b/>
                <w:szCs w:val="22"/>
              </w:rPr>
            </w:pPr>
            <w:r>
              <w:rPr>
                <w:b/>
                <w:szCs w:val="22"/>
              </w:rPr>
              <w:t>Parameter</w:t>
            </w:r>
          </w:p>
        </w:tc>
        <w:tc>
          <w:tcPr>
            <w:tcW w:w="2340" w:type="dxa"/>
            <w:tcBorders>
              <w:top w:val="single" w:sz="4" w:space="0" w:color="auto"/>
              <w:left w:val="single" w:sz="4" w:space="0" w:color="auto"/>
              <w:bottom w:val="single" w:sz="4" w:space="0" w:color="auto"/>
              <w:right w:val="single" w:sz="4" w:space="0" w:color="auto"/>
            </w:tcBorders>
            <w:shd w:val="clear" w:color="auto" w:fill="FFFF00"/>
            <w:hideMark/>
          </w:tcPr>
          <w:p w14:paraId="0BADC295" w14:textId="77777777" w:rsidR="00D527D7" w:rsidRDefault="00D527D7">
            <w:pPr>
              <w:rPr>
                <w:b/>
                <w:szCs w:val="22"/>
              </w:rPr>
            </w:pPr>
            <w:r>
              <w:rPr>
                <w:b/>
                <w:szCs w:val="22"/>
              </w:rPr>
              <w:t xml:space="preserve">Location </w:t>
            </w:r>
          </w:p>
        </w:tc>
        <w:tc>
          <w:tcPr>
            <w:tcW w:w="5130" w:type="dxa"/>
            <w:tcBorders>
              <w:top w:val="single" w:sz="4" w:space="0" w:color="auto"/>
              <w:left w:val="single" w:sz="4" w:space="0" w:color="auto"/>
              <w:bottom w:val="single" w:sz="4" w:space="0" w:color="auto"/>
              <w:right w:val="single" w:sz="4" w:space="0" w:color="auto"/>
            </w:tcBorders>
            <w:shd w:val="clear" w:color="auto" w:fill="FFFF00"/>
            <w:hideMark/>
          </w:tcPr>
          <w:p w14:paraId="240E93ED" w14:textId="77777777" w:rsidR="00D527D7" w:rsidRDefault="00D527D7">
            <w:pPr>
              <w:rPr>
                <w:b/>
                <w:szCs w:val="22"/>
              </w:rPr>
            </w:pPr>
            <w:r>
              <w:rPr>
                <w:b/>
                <w:szCs w:val="22"/>
              </w:rPr>
              <w:t>Details/description</w:t>
            </w:r>
          </w:p>
        </w:tc>
      </w:tr>
      <w:tr w:rsidR="00D527D7" w:rsidRPr="00D527D7" w14:paraId="1B84F6BE" w14:textId="77777777" w:rsidTr="00D527D7">
        <w:tc>
          <w:tcPr>
            <w:tcW w:w="1885" w:type="dxa"/>
            <w:tcBorders>
              <w:top w:val="single" w:sz="4" w:space="0" w:color="auto"/>
              <w:left w:val="single" w:sz="4" w:space="0" w:color="auto"/>
              <w:bottom w:val="single" w:sz="4" w:space="0" w:color="auto"/>
              <w:right w:val="single" w:sz="4" w:space="0" w:color="auto"/>
            </w:tcBorders>
            <w:hideMark/>
          </w:tcPr>
          <w:p w14:paraId="635AC484" w14:textId="77777777" w:rsidR="00D527D7" w:rsidRDefault="00D527D7">
            <w:pPr>
              <w:rPr>
                <w:szCs w:val="22"/>
              </w:rPr>
            </w:pPr>
            <w:r>
              <w:rPr>
                <w:szCs w:val="22"/>
              </w:rPr>
              <w:t>RI</w:t>
            </w:r>
          </w:p>
        </w:tc>
        <w:tc>
          <w:tcPr>
            <w:tcW w:w="2340" w:type="dxa"/>
            <w:tcBorders>
              <w:top w:val="single" w:sz="4" w:space="0" w:color="auto"/>
              <w:left w:val="single" w:sz="4" w:space="0" w:color="auto"/>
              <w:bottom w:val="single" w:sz="4" w:space="0" w:color="auto"/>
              <w:right w:val="single" w:sz="4" w:space="0" w:color="auto"/>
            </w:tcBorders>
            <w:hideMark/>
          </w:tcPr>
          <w:p w14:paraId="2C31EA06" w14:textId="77777777" w:rsidR="00D527D7" w:rsidRDefault="00D527D7">
            <w:pPr>
              <w:rPr>
                <w:szCs w:val="22"/>
              </w:rPr>
            </w:pPr>
            <w:r>
              <w:rPr>
                <w:szCs w:val="22"/>
              </w:rPr>
              <w:t>UCI part 1</w:t>
            </w:r>
          </w:p>
        </w:tc>
        <w:tc>
          <w:tcPr>
            <w:tcW w:w="5130" w:type="dxa"/>
            <w:tcBorders>
              <w:top w:val="single" w:sz="4" w:space="0" w:color="auto"/>
              <w:left w:val="single" w:sz="4" w:space="0" w:color="auto"/>
              <w:bottom w:val="single" w:sz="4" w:space="0" w:color="auto"/>
              <w:right w:val="single" w:sz="4" w:space="0" w:color="auto"/>
            </w:tcBorders>
            <w:hideMark/>
          </w:tcPr>
          <w:p w14:paraId="11EBBB81" w14:textId="77777777" w:rsidR="00D527D7" w:rsidRDefault="00D527D7">
            <w:pPr>
              <w:rPr>
                <w:szCs w:val="22"/>
              </w:rPr>
            </w:pPr>
            <w:r>
              <w:rPr>
                <w:szCs w:val="22"/>
              </w:rPr>
              <w:t>The need depends on the exact design of # NZ coefficients (NZC) indicator</w:t>
            </w:r>
          </w:p>
        </w:tc>
      </w:tr>
      <w:tr w:rsidR="00D527D7" w:rsidRPr="00D527D7" w14:paraId="20BF82C7" w14:textId="77777777" w:rsidTr="00D527D7">
        <w:tc>
          <w:tcPr>
            <w:tcW w:w="1885" w:type="dxa"/>
            <w:tcBorders>
              <w:top w:val="single" w:sz="4" w:space="0" w:color="auto"/>
              <w:left w:val="single" w:sz="4" w:space="0" w:color="auto"/>
              <w:bottom w:val="single" w:sz="4" w:space="0" w:color="auto"/>
              <w:right w:val="single" w:sz="4" w:space="0" w:color="auto"/>
            </w:tcBorders>
            <w:hideMark/>
          </w:tcPr>
          <w:p w14:paraId="56FA9750" w14:textId="77777777" w:rsidR="00D527D7" w:rsidRDefault="00D527D7">
            <w:pPr>
              <w:rPr>
                <w:szCs w:val="22"/>
              </w:rPr>
            </w:pPr>
            <w:r>
              <w:rPr>
                <w:i/>
                <w:szCs w:val="22"/>
              </w:rPr>
              <w:t>M</w:t>
            </w:r>
            <w:r>
              <w:rPr>
                <w:szCs w:val="22"/>
              </w:rPr>
              <w:t>’</w:t>
            </w:r>
          </w:p>
        </w:tc>
        <w:tc>
          <w:tcPr>
            <w:tcW w:w="2340" w:type="dxa"/>
            <w:tcBorders>
              <w:top w:val="single" w:sz="4" w:space="0" w:color="auto"/>
              <w:left w:val="single" w:sz="4" w:space="0" w:color="auto"/>
              <w:bottom w:val="single" w:sz="4" w:space="0" w:color="auto"/>
              <w:right w:val="single" w:sz="4" w:space="0" w:color="auto"/>
            </w:tcBorders>
            <w:hideMark/>
          </w:tcPr>
          <w:p w14:paraId="668BAC0E" w14:textId="77777777" w:rsidR="00D527D7" w:rsidRDefault="00D527D7">
            <w:pPr>
              <w:rPr>
                <w:szCs w:val="22"/>
              </w:rPr>
            </w:pPr>
            <w:r>
              <w:rPr>
                <w:szCs w:val="22"/>
              </w:rPr>
              <w:t>UCI part 1</w:t>
            </w:r>
          </w:p>
        </w:tc>
        <w:tc>
          <w:tcPr>
            <w:tcW w:w="5130" w:type="dxa"/>
            <w:tcBorders>
              <w:top w:val="single" w:sz="4" w:space="0" w:color="auto"/>
              <w:left w:val="single" w:sz="4" w:space="0" w:color="auto"/>
              <w:bottom w:val="single" w:sz="4" w:space="0" w:color="auto"/>
              <w:right w:val="single" w:sz="4" w:space="0" w:color="auto"/>
            </w:tcBorders>
            <w:hideMark/>
          </w:tcPr>
          <w:p w14:paraId="175486AE" w14:textId="77777777" w:rsidR="00D527D7" w:rsidRDefault="00D527D7">
            <w:pPr>
              <w:rPr>
                <w:szCs w:val="22"/>
              </w:rPr>
            </w:pPr>
            <w:r>
              <w:rPr>
                <w:szCs w:val="22"/>
              </w:rPr>
              <w:t xml:space="preserve">Whether to report </w:t>
            </w:r>
            <w:r>
              <w:rPr>
                <w:i/>
                <w:szCs w:val="22"/>
              </w:rPr>
              <w:t>M</w:t>
            </w:r>
            <w:r>
              <w:rPr>
                <w:szCs w:val="22"/>
              </w:rPr>
              <w:t xml:space="preserve">’ </w:t>
            </w:r>
            <w:r>
              <w:rPr>
                <w:rFonts w:cs="Times"/>
                <w:szCs w:val="22"/>
              </w:rPr>
              <w:t>≤</w:t>
            </w:r>
            <w:r>
              <w:rPr>
                <w:szCs w:val="22"/>
              </w:rPr>
              <w:t xml:space="preserve"> </w:t>
            </w:r>
            <w:r>
              <w:rPr>
                <w:i/>
                <w:szCs w:val="22"/>
              </w:rPr>
              <w:t>M</w:t>
            </w:r>
            <w:r>
              <w:rPr>
                <w:szCs w:val="22"/>
              </w:rPr>
              <w:t>, e.g. # bits, values</w:t>
            </w:r>
          </w:p>
        </w:tc>
      </w:tr>
      <w:tr w:rsidR="00D527D7" w:rsidRPr="00D527D7" w14:paraId="30B66BA1" w14:textId="77777777" w:rsidTr="00D527D7">
        <w:tc>
          <w:tcPr>
            <w:tcW w:w="1885" w:type="dxa"/>
            <w:tcBorders>
              <w:top w:val="single" w:sz="4" w:space="0" w:color="auto"/>
              <w:left w:val="single" w:sz="4" w:space="0" w:color="auto"/>
              <w:bottom w:val="single" w:sz="4" w:space="0" w:color="auto"/>
              <w:right w:val="single" w:sz="4" w:space="0" w:color="auto"/>
            </w:tcBorders>
            <w:hideMark/>
          </w:tcPr>
          <w:p w14:paraId="6E08BD4B" w14:textId="77777777" w:rsidR="00D527D7" w:rsidRDefault="005A55D7">
            <w:pPr>
              <w:rPr>
                <w:szCs w:val="22"/>
              </w:rPr>
            </w:pPr>
            <m:oMathPara>
              <m:oMathParaPr>
                <m:jc m:val="left"/>
              </m:oMathParaPr>
              <m:oMath>
                <m:sSubSup>
                  <m:sSubSupPr>
                    <m:ctrlPr>
                      <w:rPr>
                        <w:rFonts w:ascii="Cambria Math" w:eastAsia="Batang" w:hAnsi="Cambria Math"/>
                        <w:i/>
                        <w:iCs/>
                        <w:sz w:val="24"/>
                        <w:szCs w:val="24"/>
                        <w:lang w:eastAsia="en-US"/>
                      </w:rPr>
                    </m:ctrlPr>
                  </m:sSubSupPr>
                  <m:e>
                    <m:r>
                      <w:rPr>
                        <w:rFonts w:ascii="Cambria Math" w:hAnsi="Cambria Math"/>
                      </w:rPr>
                      <m:t>N</m:t>
                    </m:r>
                  </m:e>
                  <m:sub>
                    <m:r>
                      <w:rPr>
                        <w:rFonts w:ascii="Cambria Math" w:hAnsi="Cambria Math"/>
                      </w:rPr>
                      <m:t>3</m:t>
                    </m:r>
                  </m:sub>
                  <m:sup>
                    <m:r>
                      <w:rPr>
                        <w:rFonts w:ascii="Cambria Math" w:hAnsi="Cambria Math"/>
                      </w:rPr>
                      <m:t>'</m:t>
                    </m:r>
                  </m:sup>
                </m:sSubSup>
              </m:oMath>
            </m:oMathPara>
          </w:p>
        </w:tc>
        <w:tc>
          <w:tcPr>
            <w:tcW w:w="2340" w:type="dxa"/>
            <w:tcBorders>
              <w:top w:val="single" w:sz="4" w:space="0" w:color="auto"/>
              <w:left w:val="single" w:sz="4" w:space="0" w:color="auto"/>
              <w:bottom w:val="single" w:sz="4" w:space="0" w:color="auto"/>
              <w:right w:val="single" w:sz="4" w:space="0" w:color="auto"/>
            </w:tcBorders>
            <w:hideMark/>
          </w:tcPr>
          <w:p w14:paraId="6052DE81" w14:textId="77777777" w:rsidR="00D527D7" w:rsidRDefault="00D527D7">
            <w:pPr>
              <w:rPr>
                <w:szCs w:val="22"/>
              </w:rPr>
            </w:pPr>
            <w:r>
              <w:rPr>
                <w:szCs w:val="22"/>
              </w:rPr>
              <w:t>UCI part 1</w:t>
            </w:r>
          </w:p>
        </w:tc>
        <w:tc>
          <w:tcPr>
            <w:tcW w:w="5130" w:type="dxa"/>
            <w:tcBorders>
              <w:top w:val="single" w:sz="4" w:space="0" w:color="auto"/>
              <w:left w:val="single" w:sz="4" w:space="0" w:color="auto"/>
              <w:bottom w:val="single" w:sz="4" w:space="0" w:color="auto"/>
              <w:right w:val="single" w:sz="4" w:space="0" w:color="auto"/>
            </w:tcBorders>
            <w:hideMark/>
          </w:tcPr>
          <w:p w14:paraId="662EE93B" w14:textId="77777777" w:rsidR="00D527D7" w:rsidRDefault="00D527D7">
            <w:pPr>
              <w:rPr>
                <w:szCs w:val="22"/>
              </w:rPr>
            </w:pPr>
            <w:r>
              <w:rPr>
                <w:szCs w:val="22"/>
              </w:rPr>
              <w:t xml:space="preserve">Whether to report  </w:t>
            </w:r>
            <m:oMath>
              <m:sSubSup>
                <m:sSubSupPr>
                  <m:ctrlPr>
                    <w:rPr>
                      <w:rFonts w:ascii="Cambria Math" w:eastAsia="Batang" w:hAnsi="Cambria Math"/>
                      <w:i/>
                      <w:iCs/>
                      <w:sz w:val="24"/>
                      <w:szCs w:val="24"/>
                      <w:lang w:eastAsia="en-US"/>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&lt;</m:t>
              </m:r>
              <m:sSub>
                <m:sSubPr>
                  <m:ctrlPr>
                    <w:rPr>
                      <w:rFonts w:ascii="Cambria Math" w:eastAsia="Batang" w:hAnsi="Cambria Math"/>
                      <w:i/>
                      <w:iCs/>
                      <w:sz w:val="24"/>
                      <w:szCs w:val="24"/>
                      <w:lang w:eastAsia="en-US"/>
                    </w:rPr>
                  </m:ctrlPr>
                </m:sSubPr>
                <m:e>
                  <m:r>
                    <w:rPr>
                      <w:rFonts w:ascii="Cambria Math" w:hAnsi="Cambria Math"/>
                    </w:rPr>
                    <m:t>N</m:t>
                  </m:r>
                </m:e>
                <m:sub>
                  <m:r>
                    <w:rPr>
                      <w:rFonts w:ascii="Cambria Math" w:hAnsi="Cambria Math"/>
                    </w:rPr>
                    <m:t>3</m:t>
                  </m:r>
                </m:sub>
              </m:sSub>
            </m:oMath>
            <w:r>
              <w:rPr>
                <w:iCs/>
                <w:sz w:val="24"/>
              </w:rPr>
              <w:t xml:space="preserve">,  </w:t>
            </w:r>
            <w:r>
              <w:rPr>
                <w:iCs/>
              </w:rPr>
              <w:t># bits, values</w:t>
            </w:r>
          </w:p>
        </w:tc>
      </w:tr>
      <w:tr w:rsidR="00D527D7" w:rsidRPr="00D527D7" w14:paraId="1EB6AC03" w14:textId="77777777" w:rsidTr="00D527D7">
        <w:tc>
          <w:tcPr>
            <w:tcW w:w="1885" w:type="dxa"/>
            <w:tcBorders>
              <w:top w:val="single" w:sz="4" w:space="0" w:color="auto"/>
              <w:left w:val="single" w:sz="4" w:space="0" w:color="auto"/>
              <w:bottom w:val="single" w:sz="4" w:space="0" w:color="auto"/>
              <w:right w:val="single" w:sz="4" w:space="0" w:color="auto"/>
            </w:tcBorders>
            <w:hideMark/>
          </w:tcPr>
          <w:p w14:paraId="614BC83E" w14:textId="77777777" w:rsidR="00D527D7" w:rsidRDefault="005A55D7">
            <w:pPr>
              <w:rPr>
                <w:szCs w:val="22"/>
              </w:rPr>
            </w:pPr>
            <m:oMath>
              <m:sSubSup>
                <m:sSubSupPr>
                  <m:ctrlPr>
                    <w:rPr>
                      <w:rFonts w:ascii="Cambria Math" w:eastAsia="Batang" w:hAnsi="Cambria Math"/>
                      <w:i/>
                      <w:iCs/>
                      <w:sz w:val="24"/>
                      <w:szCs w:val="24"/>
                      <w:lang w:eastAsia="en-US"/>
                    </w:rPr>
                  </m:ctrlPr>
                </m:sSubSupPr>
                <m:e>
                  <m:r>
                    <w:rPr>
                      <w:rFonts w:ascii="Cambria Math" w:hAnsi="Cambria Math"/>
                    </w:rPr>
                    <m:t>N</m:t>
                  </m:r>
                </m:e>
                <m:sub>
                  <m:r>
                    <w:rPr>
                      <w:rFonts w:ascii="Cambria Math" w:hAnsi="Cambria Math"/>
                    </w:rPr>
                    <m:t>1</m:t>
                  </m:r>
                </m:sub>
                <m:sup>
                  <m:r>
                    <w:rPr>
                      <w:rFonts w:ascii="Cambria Math" w:hAnsi="Cambria Math"/>
                    </w:rPr>
                    <m:t>'</m:t>
                  </m:r>
                </m:sup>
              </m:sSubSup>
            </m:oMath>
            <w:r w:rsidR="00D527D7">
              <w:rPr>
                <w:iCs/>
                <w:sz w:val="24"/>
              </w:rPr>
              <w:t xml:space="preserve">, </w:t>
            </w:r>
            <m:oMath>
              <m:sSubSup>
                <m:sSubSupPr>
                  <m:ctrlPr>
                    <w:rPr>
                      <w:rFonts w:ascii="Cambria Math" w:eastAsia="Batang" w:hAnsi="Cambria Math"/>
                      <w:i/>
                      <w:iCs/>
                      <w:sz w:val="24"/>
                      <w:szCs w:val="24"/>
                      <w:lang w:eastAsia="en-US"/>
                    </w:rPr>
                  </m:ctrlPr>
                </m:sSubSupPr>
                <m:e>
                  <m:r>
                    <w:rPr>
                      <w:rFonts w:ascii="Cambria Math" w:hAnsi="Cambria Math"/>
                    </w:rPr>
                    <m:t>N</m:t>
                  </m:r>
                </m:e>
                <m:sub>
                  <m:r>
                    <w:rPr>
                      <w:rFonts w:ascii="Cambria Math" w:hAnsi="Cambria Math"/>
                    </w:rPr>
                    <m:t>2</m:t>
                  </m:r>
                </m:sub>
                <m:sup>
                  <m:r>
                    <w:rPr>
                      <w:rFonts w:ascii="Cambria Math" w:hAnsi="Cambria Math"/>
                    </w:rPr>
                    <m:t>'</m:t>
                  </m:r>
                </m:sup>
              </m:sSubSup>
            </m:oMath>
            <w:r w:rsidR="00D527D7">
              <w:rPr>
                <w:iCs/>
                <w:sz w:val="24"/>
              </w:rPr>
              <w:t xml:space="preserve"> </w:t>
            </w:r>
          </w:p>
        </w:tc>
        <w:tc>
          <w:tcPr>
            <w:tcW w:w="2340" w:type="dxa"/>
            <w:tcBorders>
              <w:top w:val="single" w:sz="4" w:space="0" w:color="auto"/>
              <w:left w:val="single" w:sz="4" w:space="0" w:color="auto"/>
              <w:bottom w:val="single" w:sz="4" w:space="0" w:color="auto"/>
              <w:right w:val="single" w:sz="4" w:space="0" w:color="auto"/>
            </w:tcBorders>
            <w:hideMark/>
          </w:tcPr>
          <w:p w14:paraId="334DDAAD" w14:textId="77777777" w:rsidR="00D527D7" w:rsidRDefault="00D527D7">
            <w:pPr>
              <w:rPr>
                <w:szCs w:val="22"/>
              </w:rPr>
            </w:pPr>
            <w:r>
              <w:rPr>
                <w:szCs w:val="22"/>
              </w:rPr>
              <w:t>UCI part 1</w:t>
            </w:r>
          </w:p>
        </w:tc>
        <w:tc>
          <w:tcPr>
            <w:tcW w:w="5130" w:type="dxa"/>
            <w:tcBorders>
              <w:top w:val="single" w:sz="4" w:space="0" w:color="auto"/>
              <w:left w:val="single" w:sz="4" w:space="0" w:color="auto"/>
              <w:bottom w:val="single" w:sz="4" w:space="0" w:color="auto"/>
              <w:right w:val="single" w:sz="4" w:space="0" w:color="auto"/>
            </w:tcBorders>
            <w:hideMark/>
          </w:tcPr>
          <w:p w14:paraId="4CCAE4C1" w14:textId="77777777" w:rsidR="00D527D7" w:rsidRDefault="00D527D7">
            <w:pPr>
              <w:rPr>
                <w:szCs w:val="22"/>
              </w:rPr>
            </w:pPr>
            <w:r>
              <w:rPr>
                <w:szCs w:val="22"/>
              </w:rPr>
              <w:t xml:space="preserve">Whether to report </w:t>
            </w:r>
            <m:oMath>
              <m:sSubSup>
                <m:sSubSupPr>
                  <m:ctrlPr>
                    <w:rPr>
                      <w:rFonts w:ascii="Cambria Math" w:eastAsia="Batang" w:hAnsi="Cambria Math"/>
                      <w:i/>
                      <w:iCs/>
                      <w:sz w:val="24"/>
                      <w:szCs w:val="24"/>
                      <w:lang w:eastAsia="en-US"/>
                    </w:rPr>
                  </m:ctrlPr>
                </m:sSubSupPr>
                <m:e>
                  <m:r>
                    <w:rPr>
                      <w:rFonts w:ascii="Cambria Math" w:hAnsi="Cambria Math"/>
                    </w:rPr>
                    <m:t>N</m:t>
                  </m:r>
                </m:e>
                <m:sub>
                  <m:r>
                    <w:rPr>
                      <w:rFonts w:ascii="Cambria Math" w:hAnsi="Cambria Math"/>
                    </w:rPr>
                    <m:t>1</m:t>
                  </m:r>
                </m:sub>
                <m:sup>
                  <m:r>
                    <w:rPr>
                      <w:rFonts w:ascii="Cambria Math" w:hAnsi="Cambria Math"/>
                    </w:rPr>
                    <m:t>'</m:t>
                  </m:r>
                </m:sup>
              </m:sSubSup>
              <m:r>
                <w:rPr>
                  <w:rFonts w:ascii="Cambria Math" w:hAnsi="Cambria Math"/>
                </w:rPr>
                <m:t>&lt;</m:t>
              </m:r>
              <m:sSub>
                <m:sSubPr>
                  <m:ctrlPr>
                    <w:rPr>
                      <w:rFonts w:ascii="Cambria Math" w:eastAsia="Batang" w:hAnsi="Cambria Math"/>
                      <w:i/>
                      <w:iCs/>
                      <w:sz w:val="24"/>
                      <w:szCs w:val="24"/>
                      <w:lang w:eastAsia="en-US"/>
                    </w:rPr>
                  </m:ctrlPr>
                </m:sSubPr>
                <m:e>
                  <m:r>
                    <w:rPr>
                      <w:rFonts w:ascii="Cambria Math" w:hAnsi="Cambria Math"/>
                    </w:rPr>
                    <m:t>N</m:t>
                  </m:r>
                </m:e>
                <m:sub>
                  <m:r>
                    <w:rPr>
                      <w:rFonts w:ascii="Cambria Math" w:hAnsi="Cambria Math"/>
                    </w:rPr>
                    <m:t>1</m:t>
                  </m:r>
                </m:sub>
              </m:sSub>
            </m:oMath>
            <w:r>
              <w:t xml:space="preserve">, </w:t>
            </w:r>
            <m:oMath>
              <m:sSubSup>
                <m:sSubSupPr>
                  <m:ctrlPr>
                    <w:rPr>
                      <w:rFonts w:ascii="Cambria Math" w:eastAsia="Batang" w:hAnsi="Cambria Math"/>
                      <w:i/>
                      <w:iCs/>
                      <w:sz w:val="24"/>
                      <w:szCs w:val="24"/>
                      <w:lang w:eastAsia="en-US"/>
                    </w:rPr>
                  </m:ctrlPr>
                </m:sSubSupPr>
                <m:e>
                  <m:r>
                    <w:rPr>
                      <w:rFonts w:ascii="Cambria Math" w:hAnsi="Cambria Math"/>
                    </w:rPr>
                    <m:t>N</m:t>
                  </m:r>
                </m:e>
                <m:sub>
                  <m:r>
                    <w:rPr>
                      <w:rFonts w:ascii="Cambria Math" w:hAnsi="Cambria Math"/>
                    </w:rPr>
                    <m:t>2</m:t>
                  </m:r>
                </m:sub>
                <m:sup>
                  <m:r>
                    <w:rPr>
                      <w:rFonts w:ascii="Cambria Math" w:hAnsi="Cambria Math"/>
                    </w:rPr>
                    <m:t>'</m:t>
                  </m:r>
                </m:sup>
              </m:sSubSup>
              <m:r>
                <w:rPr>
                  <w:rFonts w:ascii="Cambria Math" w:hAnsi="Cambria Math"/>
                </w:rPr>
                <m:t>&lt;</m:t>
              </m:r>
              <m:sSub>
                <m:sSubPr>
                  <m:ctrlPr>
                    <w:rPr>
                      <w:rFonts w:ascii="Cambria Math" w:eastAsia="Batang" w:hAnsi="Cambria Math"/>
                      <w:i/>
                      <w:iCs/>
                      <w:sz w:val="24"/>
                      <w:szCs w:val="24"/>
                      <w:lang w:eastAsia="en-US"/>
                    </w:rPr>
                  </m:ctrlPr>
                </m:sSubPr>
                <m:e>
                  <m:r>
                    <w:rPr>
                      <w:rFonts w:ascii="Cambria Math" w:hAnsi="Cambria Math"/>
                    </w:rPr>
                    <m:t>N</m:t>
                  </m:r>
                </m:e>
                <m:sub>
                  <m:r>
                    <w:rPr>
                      <w:rFonts w:ascii="Cambria Math" w:hAnsi="Cambria Math"/>
                    </w:rPr>
                    <m:t>2</m:t>
                  </m:r>
                </m:sub>
              </m:sSub>
            </m:oMath>
            <w:r>
              <w:rPr>
                <w:iCs/>
                <w:sz w:val="24"/>
              </w:rPr>
              <w:t xml:space="preserve">, </w:t>
            </w:r>
            <w:r>
              <w:rPr>
                <w:iCs/>
              </w:rPr>
              <w:t># bits, values</w:t>
            </w:r>
          </w:p>
        </w:tc>
      </w:tr>
      <w:tr w:rsidR="00D527D7" w:rsidRPr="00D527D7" w14:paraId="0143EAD5" w14:textId="77777777" w:rsidTr="00D527D7">
        <w:tc>
          <w:tcPr>
            <w:tcW w:w="1885" w:type="dxa"/>
            <w:tcBorders>
              <w:top w:val="single" w:sz="4" w:space="0" w:color="auto"/>
              <w:left w:val="single" w:sz="4" w:space="0" w:color="auto"/>
              <w:bottom w:val="single" w:sz="4" w:space="0" w:color="auto"/>
              <w:right w:val="single" w:sz="4" w:space="0" w:color="auto"/>
            </w:tcBorders>
            <w:hideMark/>
          </w:tcPr>
          <w:p w14:paraId="60F1B825" w14:textId="77777777" w:rsidR="00D527D7" w:rsidRDefault="00D527D7">
            <w:pPr>
              <w:rPr>
                <w:szCs w:val="22"/>
              </w:rPr>
            </w:pPr>
            <w:r>
              <w:rPr>
                <w:szCs w:val="22"/>
              </w:rPr>
              <w:t>Size of the bitmap(s) in UCI Part2:</w:t>
            </w:r>
            <w:r>
              <w:rPr>
                <w:i/>
                <w:szCs w:val="22"/>
              </w:rPr>
              <w:t xml:space="preserve"> </w:t>
            </w:r>
            <w:proofErr w:type="spellStart"/>
            <w:r>
              <w:rPr>
                <w:i/>
                <w:szCs w:val="22"/>
              </w:rPr>
              <w:t>N</w:t>
            </w:r>
            <w:r>
              <w:rPr>
                <w:szCs w:val="22"/>
                <w:vertAlign w:val="subscript"/>
              </w:rPr>
              <w:t>b</w:t>
            </w:r>
            <w:proofErr w:type="spellEnd"/>
          </w:p>
        </w:tc>
        <w:tc>
          <w:tcPr>
            <w:tcW w:w="2340" w:type="dxa"/>
            <w:tcBorders>
              <w:top w:val="single" w:sz="4" w:space="0" w:color="auto"/>
              <w:left w:val="single" w:sz="4" w:space="0" w:color="auto"/>
              <w:bottom w:val="single" w:sz="4" w:space="0" w:color="auto"/>
              <w:right w:val="single" w:sz="4" w:space="0" w:color="auto"/>
            </w:tcBorders>
            <w:hideMark/>
          </w:tcPr>
          <w:p w14:paraId="3432411A" w14:textId="77777777" w:rsidR="00D527D7" w:rsidRDefault="00D527D7">
            <w:pPr>
              <w:rPr>
                <w:szCs w:val="22"/>
              </w:rPr>
            </w:pPr>
            <w:r>
              <w:rPr>
                <w:szCs w:val="22"/>
              </w:rPr>
              <w:t>UCI part 1</w:t>
            </w:r>
          </w:p>
        </w:tc>
        <w:tc>
          <w:tcPr>
            <w:tcW w:w="5130" w:type="dxa"/>
            <w:tcBorders>
              <w:top w:val="single" w:sz="4" w:space="0" w:color="auto"/>
              <w:left w:val="single" w:sz="4" w:space="0" w:color="auto"/>
              <w:bottom w:val="single" w:sz="4" w:space="0" w:color="auto"/>
              <w:right w:val="single" w:sz="4" w:space="0" w:color="auto"/>
            </w:tcBorders>
            <w:hideMark/>
          </w:tcPr>
          <w:p w14:paraId="06F85E3C" w14:textId="77777777" w:rsidR="00D527D7" w:rsidRDefault="00D527D7">
            <w:pPr>
              <w:rPr>
                <w:szCs w:val="22"/>
              </w:rPr>
            </w:pPr>
            <w:r>
              <w:rPr>
                <w:szCs w:val="22"/>
              </w:rPr>
              <w:t xml:space="preserve">Whether to report </w:t>
            </w:r>
            <w:proofErr w:type="spellStart"/>
            <w:r>
              <w:rPr>
                <w:i/>
                <w:szCs w:val="22"/>
              </w:rPr>
              <w:t>N</w:t>
            </w:r>
            <w:r>
              <w:rPr>
                <w:szCs w:val="22"/>
                <w:vertAlign w:val="subscript"/>
              </w:rPr>
              <w:t>b</w:t>
            </w:r>
            <w:proofErr w:type="spellEnd"/>
            <w:r>
              <w:rPr>
                <w:szCs w:val="22"/>
              </w:rPr>
              <w:t>, #bits, values</w:t>
            </w:r>
          </w:p>
        </w:tc>
      </w:tr>
      <w:tr w:rsidR="00D527D7" w14:paraId="53C90857" w14:textId="77777777" w:rsidTr="00D527D7">
        <w:tc>
          <w:tcPr>
            <w:tcW w:w="1885" w:type="dxa"/>
            <w:tcBorders>
              <w:top w:val="single" w:sz="4" w:space="0" w:color="auto"/>
              <w:left w:val="single" w:sz="4" w:space="0" w:color="auto"/>
              <w:bottom w:val="single" w:sz="4" w:space="0" w:color="auto"/>
              <w:right w:val="single" w:sz="4" w:space="0" w:color="auto"/>
            </w:tcBorders>
            <w:hideMark/>
          </w:tcPr>
          <w:p w14:paraId="2594A859" w14:textId="77777777" w:rsidR="00D527D7" w:rsidRDefault="00D527D7">
            <w:pPr>
              <w:rPr>
                <w:szCs w:val="22"/>
                <w:lang w:eastAsia="en-US"/>
              </w:rPr>
            </w:pPr>
            <w:r>
              <w:rPr>
                <w:szCs w:val="22"/>
              </w:rPr>
              <w:t xml:space="preserve">Indication of zero Pol-reference amplitude values </w:t>
            </w:r>
          </w:p>
        </w:tc>
        <w:tc>
          <w:tcPr>
            <w:tcW w:w="2340" w:type="dxa"/>
            <w:tcBorders>
              <w:top w:val="single" w:sz="4" w:space="0" w:color="auto"/>
              <w:left w:val="single" w:sz="4" w:space="0" w:color="auto"/>
              <w:bottom w:val="single" w:sz="4" w:space="0" w:color="auto"/>
              <w:right w:val="single" w:sz="4" w:space="0" w:color="auto"/>
            </w:tcBorders>
            <w:hideMark/>
          </w:tcPr>
          <w:p w14:paraId="530B364C" w14:textId="77777777" w:rsidR="00D527D7" w:rsidRDefault="00D527D7">
            <w:pPr>
              <w:rPr>
                <w:szCs w:val="22"/>
              </w:rPr>
            </w:pPr>
            <w:r>
              <w:rPr>
                <w:szCs w:val="22"/>
              </w:rPr>
              <w:t>UCI part 1</w:t>
            </w:r>
          </w:p>
        </w:tc>
        <w:tc>
          <w:tcPr>
            <w:tcW w:w="5130" w:type="dxa"/>
            <w:tcBorders>
              <w:top w:val="single" w:sz="4" w:space="0" w:color="auto"/>
              <w:left w:val="single" w:sz="4" w:space="0" w:color="auto"/>
              <w:bottom w:val="single" w:sz="4" w:space="0" w:color="auto"/>
              <w:right w:val="single" w:sz="4" w:space="0" w:color="auto"/>
            </w:tcBorders>
            <w:hideMark/>
          </w:tcPr>
          <w:p w14:paraId="702EF063" w14:textId="77777777" w:rsidR="00D527D7" w:rsidRDefault="00D527D7">
            <w:pPr>
              <w:rPr>
                <w:szCs w:val="22"/>
              </w:rPr>
            </w:pPr>
            <w:r>
              <w:rPr>
                <w:szCs w:val="22"/>
              </w:rPr>
              <w:t>Specific design pending</w:t>
            </w:r>
          </w:p>
        </w:tc>
      </w:tr>
      <w:tr w:rsidR="00D527D7" w:rsidRPr="00D527D7" w14:paraId="0C060A95" w14:textId="77777777" w:rsidTr="00D527D7">
        <w:tc>
          <w:tcPr>
            <w:tcW w:w="1885" w:type="dxa"/>
            <w:tcBorders>
              <w:top w:val="single" w:sz="4" w:space="0" w:color="auto"/>
              <w:left w:val="single" w:sz="4" w:space="0" w:color="auto"/>
              <w:bottom w:val="single" w:sz="4" w:space="0" w:color="auto"/>
              <w:right w:val="single" w:sz="4" w:space="0" w:color="auto"/>
            </w:tcBorders>
            <w:hideMark/>
          </w:tcPr>
          <w:p w14:paraId="6251CD8A" w14:textId="77777777" w:rsidR="00D527D7" w:rsidRDefault="00D527D7">
            <w:pPr>
              <w:rPr>
                <w:szCs w:val="22"/>
              </w:rPr>
            </w:pPr>
            <w:r>
              <w:rPr>
                <w:szCs w:val="22"/>
              </w:rPr>
              <w:t xml:space="preserve">Oversampling (rotation) factor </w:t>
            </w:r>
          </w:p>
        </w:tc>
        <w:tc>
          <w:tcPr>
            <w:tcW w:w="2340" w:type="dxa"/>
            <w:tcBorders>
              <w:top w:val="single" w:sz="4" w:space="0" w:color="auto"/>
              <w:left w:val="single" w:sz="4" w:space="0" w:color="auto"/>
              <w:bottom w:val="single" w:sz="4" w:space="0" w:color="auto"/>
              <w:right w:val="single" w:sz="4" w:space="0" w:color="auto"/>
            </w:tcBorders>
            <w:hideMark/>
          </w:tcPr>
          <w:p w14:paraId="77472276" w14:textId="77777777" w:rsidR="00D527D7" w:rsidRDefault="00D527D7">
            <w:pPr>
              <w:rPr>
                <w:szCs w:val="22"/>
              </w:rPr>
            </w:pPr>
            <w:r>
              <w:rPr>
                <w:szCs w:val="22"/>
              </w:rPr>
              <w:t>UCI part 2</w:t>
            </w:r>
          </w:p>
        </w:tc>
        <w:tc>
          <w:tcPr>
            <w:tcW w:w="5130" w:type="dxa"/>
            <w:tcBorders>
              <w:top w:val="single" w:sz="4" w:space="0" w:color="auto"/>
              <w:left w:val="single" w:sz="4" w:space="0" w:color="auto"/>
              <w:bottom w:val="single" w:sz="4" w:space="0" w:color="auto"/>
              <w:right w:val="single" w:sz="4" w:space="0" w:color="auto"/>
            </w:tcBorders>
            <w:hideMark/>
          </w:tcPr>
          <w:p w14:paraId="7F020851" w14:textId="77777777" w:rsidR="00D527D7" w:rsidRDefault="00D527D7">
            <w:pPr>
              <w:rPr>
                <w:szCs w:val="22"/>
              </w:rPr>
            </w:pPr>
            <w:r>
              <w:rPr>
                <w:szCs w:val="22"/>
              </w:rPr>
              <w:t>e.g. values of qi, i=1,2,3 (3 values)</w:t>
            </w:r>
          </w:p>
        </w:tc>
      </w:tr>
    </w:tbl>
    <w:p w14:paraId="5ED0B30B" w14:textId="77777777" w:rsidR="00D527D7" w:rsidRDefault="00D527D7" w:rsidP="00D527D7">
      <w:pPr>
        <w:rPr>
          <w:rFonts w:ascii="Times" w:eastAsia="Batang" w:hAnsi="Times"/>
          <w:sz w:val="24"/>
          <w:szCs w:val="22"/>
          <w:lang w:eastAsia="en-US"/>
        </w:rPr>
      </w:pPr>
    </w:p>
    <w:p w14:paraId="6DB2CC8F" w14:textId="21F210CB" w:rsidR="00D527D7" w:rsidRDefault="00D527D7" w:rsidP="002E66DD">
      <w:r>
        <w:t>In this contribution, we present our view on</w:t>
      </w:r>
      <w:r w:rsidR="00C905BE">
        <w:t xml:space="preserve"> the FFS points of the agreed UCI parameters along with</w:t>
      </w:r>
      <w:r w:rsidR="008B2C63">
        <w:t xml:space="preserve"> and opinion on the additionally proposed UCI parameters.</w:t>
      </w:r>
    </w:p>
    <w:p w14:paraId="5E7AF3F1" w14:textId="77777777" w:rsidR="008B2C63" w:rsidRPr="00D527D7" w:rsidRDefault="008B2C63" w:rsidP="002E66DD"/>
    <w:p w14:paraId="436C9B9C" w14:textId="46007D1D" w:rsidR="00E574EE" w:rsidRDefault="008B2C63" w:rsidP="00705CCB">
      <w:pPr>
        <w:pStyle w:val="Heading1"/>
      </w:pPr>
      <w:r>
        <w:t>Number of non-zero coefficients and RI</w:t>
      </w:r>
    </w:p>
    <w:p w14:paraId="6AC71422" w14:textId="2E91013C" w:rsidR="00D33D79" w:rsidRDefault="00D33D79" w:rsidP="00D33D79">
      <w:pPr>
        <w:pStyle w:val="BodyText"/>
      </w:pPr>
      <w:r>
        <w:t>Depending on the outcome of higher rank basis parametrization discussion, t</w:t>
      </w:r>
      <w:r w:rsidR="005F4D4C">
        <w:t xml:space="preserve">he parameter setting for the SD and FD bases, i.e. the </w:t>
      </w:r>
      <w:r w:rsidR="005F4D4C">
        <w:rPr>
          <w:i/>
        </w:rPr>
        <w:t>number</w:t>
      </w:r>
      <w:r w:rsidR="005F4D4C">
        <w:t xml:space="preserve"> of selected SD/FD basis vectors</w:t>
      </w:r>
      <m:oMath>
        <m:r>
          <w:rPr>
            <w:rFonts w:ascii="Cambria Math" w:hAnsi="Cambria Math"/>
          </w:rPr>
          <m:t xml:space="preserve"> 2</m:t>
        </m:r>
        <m:sSub>
          <m:sSubPr>
            <m:ctrlPr>
              <w:rPr>
                <w:rFonts w:ascii="Cambria Math" w:hAnsi="Cambria Math"/>
                <w:i/>
                <w:spacing w:val="2"/>
                <w:lang w:val="en-US" w:eastAsia="en-US"/>
              </w:rPr>
            </m:ctrlPr>
          </m:sSubPr>
          <m:e>
            <m:r>
              <w:rPr>
                <w:rFonts w:ascii="Cambria Math" w:hAnsi="Cambria Math"/>
              </w:rPr>
              <m:t>L</m:t>
            </m:r>
          </m:e>
          <m:sub>
            <m:r>
              <w:rPr>
                <w:rFonts w:ascii="Cambria Math" w:hAnsi="Cambria Math"/>
              </w:rPr>
              <m:t>R,l</m:t>
            </m:r>
          </m:sub>
        </m:sSub>
      </m:oMath>
      <w:r w:rsidR="005F4D4C">
        <w:t xml:space="preserve"> and </w:t>
      </w:r>
      <m:oMath>
        <m:sSub>
          <m:sSubPr>
            <m:ctrlPr>
              <w:rPr>
                <w:rFonts w:ascii="Cambria Math" w:hAnsi="Cambria Math"/>
                <w:i/>
                <w:spacing w:val="2"/>
                <w:lang w:val="en-US" w:eastAsia="en-US"/>
              </w:rPr>
            </m:ctrlPr>
          </m:sSubPr>
          <m:e>
            <m:r>
              <w:rPr>
                <w:rFonts w:ascii="Cambria Math" w:hAnsi="Cambria Math"/>
              </w:rPr>
              <m:t>M</m:t>
            </m:r>
          </m:e>
          <m:sub>
            <m:r>
              <w:rPr>
                <w:rFonts w:ascii="Cambria Math" w:hAnsi="Cambria Math"/>
              </w:rPr>
              <m:t>R,l</m:t>
            </m:r>
          </m:sub>
        </m:sSub>
      </m:oMath>
      <w:r w:rsidR="005F4D4C">
        <w:t xml:space="preserve"> may in the general case be both rank-specific and layer-specific as indicated by the sub-indices </w:t>
      </w:r>
      <m:oMath>
        <m:r>
          <w:rPr>
            <w:rFonts w:ascii="Cambria Math" w:hAnsi="Cambria Math"/>
          </w:rPr>
          <m:t>(R,l)</m:t>
        </m:r>
      </m:oMath>
      <w:r w:rsidR="00AB187F">
        <w:t xml:space="preserve"> which denote the rank and layer index respectively.</w:t>
      </w:r>
    </w:p>
    <w:p w14:paraId="06A4C5AB" w14:textId="4723FDC0" w:rsidR="005F4D4C" w:rsidRDefault="005F4D4C" w:rsidP="00D33D79">
      <w:pPr>
        <w:pStyle w:val="BodyText"/>
        <w:rPr>
          <w:rFonts w:eastAsia="Malgun Gothic"/>
        </w:rPr>
      </w:pPr>
      <w:r>
        <w:rPr>
          <w:rFonts w:eastAsia="Malgun Gothic"/>
        </w:rPr>
        <w:t xml:space="preserve">For each layer </w:t>
      </w:r>
      <m:oMath>
        <m:r>
          <w:rPr>
            <w:rFonts w:ascii="Cambria Math" w:eastAsia="Malgun Gothic" w:hAnsi="Cambria Math"/>
          </w:rPr>
          <m:t>l=0,…,R-1</m:t>
        </m:r>
      </m:oMath>
      <w:r>
        <w:rPr>
          <w:rFonts w:eastAsia="Malgun Gothic"/>
        </w:rPr>
        <w:t xml:space="preserve">, there are thus </w:t>
      </w:r>
      <m:oMath>
        <m:r>
          <w:rPr>
            <w:rFonts w:ascii="Cambria Math" w:eastAsia="Malgun Gothic" w:hAnsi="Cambria Math"/>
          </w:rPr>
          <m:t>2</m:t>
        </m:r>
        <m:sSub>
          <m:sSubPr>
            <m:ctrlPr>
              <w:rPr>
                <w:rFonts w:ascii="Cambria Math" w:hAnsi="Cambria Math"/>
                <w:i/>
                <w:spacing w:val="2"/>
                <w:lang w:val="en-US" w:eastAsia="en-US"/>
              </w:rPr>
            </m:ctrlPr>
          </m:sSubPr>
          <m:e>
            <m:r>
              <w:rPr>
                <w:rFonts w:ascii="Cambria Math" w:hAnsi="Cambria Math"/>
              </w:rPr>
              <m:t>L</m:t>
            </m:r>
          </m:e>
          <m:sub>
            <m:r>
              <w:rPr>
                <w:rFonts w:ascii="Cambria Math" w:hAnsi="Cambria Math"/>
              </w:rPr>
              <m:t>R,l</m:t>
            </m:r>
          </m:sub>
        </m:sSub>
        <m:sSub>
          <m:sSubPr>
            <m:ctrlPr>
              <w:rPr>
                <w:rFonts w:ascii="Cambria Math" w:hAnsi="Cambria Math"/>
                <w:i/>
                <w:spacing w:val="2"/>
                <w:lang w:val="en-US" w:eastAsia="en-US"/>
              </w:rPr>
            </m:ctrlPr>
          </m:sSubPr>
          <m:e>
            <m:r>
              <w:rPr>
                <w:rFonts w:ascii="Cambria Math" w:hAnsi="Cambria Math"/>
              </w:rPr>
              <m:t>M</m:t>
            </m:r>
          </m:e>
          <m:sub>
            <m:r>
              <w:rPr>
                <w:rFonts w:ascii="Cambria Math" w:hAnsi="Cambria Math"/>
              </w:rPr>
              <m:t>R,l</m:t>
            </m:r>
          </m:sub>
        </m:sSub>
      </m:oMath>
      <w:r>
        <w:t xml:space="preserve"> possible LC coefficients in the transformed domain and it can be assumed that </w:t>
      </w:r>
      <w:r>
        <w:rPr>
          <w:rFonts w:eastAsia="Malgun Gothic"/>
        </w:rPr>
        <w:t xml:space="preserve">a number </w:t>
      </w:r>
      <m:oMath>
        <m:sSub>
          <m:sSubPr>
            <m:ctrlPr>
              <w:rPr>
                <w:rFonts w:ascii="Cambria Math" w:eastAsia="Malgun Gothic" w:hAnsi="Cambria Math"/>
                <w:i/>
                <w:spacing w:val="2"/>
                <w:lang w:val="en-US" w:eastAsia="en-US"/>
              </w:rPr>
            </m:ctrlPr>
          </m:sSubPr>
          <m:e>
            <m:r>
              <w:rPr>
                <w:rFonts w:ascii="Cambria Math" w:eastAsia="Malgun Gothic" w:hAnsi="Cambria Math"/>
              </w:rPr>
              <m:t>K</m:t>
            </m:r>
          </m:e>
          <m:sub>
            <m:r>
              <w:rPr>
                <w:rFonts w:ascii="Cambria Math" w:eastAsia="Malgun Gothic" w:hAnsi="Cambria Math"/>
              </w:rPr>
              <m:t>1</m:t>
            </m:r>
          </m:sub>
        </m:sSub>
        <m:d>
          <m:dPr>
            <m:ctrlPr>
              <w:rPr>
                <w:rFonts w:ascii="Cambria Math" w:eastAsia="Malgun Gothic" w:hAnsi="Cambria Math"/>
                <w:i/>
                <w:spacing w:val="2"/>
                <w:lang w:val="en-US" w:eastAsia="en-US"/>
              </w:rPr>
            </m:ctrlPr>
          </m:dPr>
          <m:e>
            <m:r>
              <w:rPr>
                <w:rFonts w:ascii="Cambria Math" w:eastAsia="Malgun Gothic" w:hAnsi="Cambria Math"/>
              </w:rPr>
              <m:t>l</m:t>
            </m:r>
          </m:e>
        </m:d>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r>
          <w:rPr>
            <w:rFonts w:ascii="Cambria Math" w:eastAsia="Malgun Gothic" w:hAnsi="Cambria Math"/>
          </w:rPr>
          <m:t>(R,l)&lt;2</m:t>
        </m:r>
        <m:sSub>
          <m:sSubPr>
            <m:ctrlPr>
              <w:rPr>
                <w:rFonts w:ascii="Cambria Math" w:hAnsi="Cambria Math"/>
                <w:i/>
                <w:spacing w:val="2"/>
                <w:lang w:val="en-US" w:eastAsia="en-US"/>
              </w:rPr>
            </m:ctrlPr>
          </m:sSubPr>
          <m:e>
            <m:r>
              <w:rPr>
                <w:rFonts w:ascii="Cambria Math" w:hAnsi="Cambria Math"/>
              </w:rPr>
              <m:t>L</m:t>
            </m:r>
          </m:e>
          <m:sub>
            <m:r>
              <w:rPr>
                <w:rFonts w:ascii="Cambria Math" w:hAnsi="Cambria Math"/>
              </w:rPr>
              <m:t>R,l</m:t>
            </m:r>
          </m:sub>
        </m:sSub>
        <m:sSub>
          <m:sSubPr>
            <m:ctrlPr>
              <w:rPr>
                <w:rFonts w:ascii="Cambria Math" w:hAnsi="Cambria Math"/>
                <w:i/>
                <w:spacing w:val="2"/>
                <w:lang w:val="en-US" w:eastAsia="en-US"/>
              </w:rPr>
            </m:ctrlPr>
          </m:sSubPr>
          <m:e>
            <m:r>
              <w:rPr>
                <w:rFonts w:ascii="Cambria Math" w:hAnsi="Cambria Math"/>
              </w:rPr>
              <m:t>M</m:t>
            </m:r>
          </m:e>
          <m:sub>
            <m:r>
              <w:rPr>
                <w:rFonts w:ascii="Cambria Math" w:hAnsi="Cambria Math"/>
              </w:rPr>
              <m:t>R,l</m:t>
            </m:r>
          </m:sub>
        </m:sSub>
      </m:oMath>
      <w:r>
        <w:rPr>
          <w:rFonts w:eastAsia="Malgun Gothic"/>
        </w:rPr>
        <w:t xml:space="preserve"> are non-zero coefficients which are reported. </w:t>
      </w:r>
    </w:p>
    <w:p w14:paraId="4ACA7BED" w14:textId="09F6DF28" w:rsidR="00AB187F" w:rsidRDefault="005E4060" w:rsidP="00D33D79">
      <w:pPr>
        <w:pStyle w:val="BodyText"/>
        <w:rPr>
          <w:rFonts w:ascii="Arial" w:eastAsia="Malgun Gothic" w:hAnsi="Arial"/>
          <w:lang w:val="en-US" w:eastAsia="en-US"/>
        </w:rPr>
      </w:pPr>
      <w:r>
        <w:rPr>
          <w:rFonts w:eastAsia="Malgun Gothic"/>
        </w:rPr>
        <w:t xml:space="preserve">According to the agreement, </w:t>
      </w:r>
      <m:oMath>
        <m:sSub>
          <m:sSubPr>
            <m:ctrlPr>
              <w:rPr>
                <w:rFonts w:ascii="Cambria Math" w:eastAsia="Malgun Gothic" w:hAnsi="Cambria Math"/>
                <w:i/>
                <w:spacing w:val="2"/>
                <w:lang w:val="en-US" w:eastAsia="en-US"/>
              </w:rPr>
            </m:ctrlPr>
          </m:sSubPr>
          <m:e>
            <m:r>
              <w:rPr>
                <w:rFonts w:ascii="Cambria Math" w:eastAsia="Malgun Gothic" w:hAnsi="Cambria Math"/>
              </w:rPr>
              <m:t>K</m:t>
            </m:r>
          </m:e>
          <m:sub>
            <m:r>
              <w:rPr>
                <w:rFonts w:ascii="Cambria Math" w:eastAsia="Malgun Gothic" w:hAnsi="Cambria Math"/>
              </w:rPr>
              <m:t>1</m:t>
            </m:r>
          </m:sub>
        </m:sSub>
        <m:d>
          <m:dPr>
            <m:ctrlPr>
              <w:rPr>
                <w:rFonts w:ascii="Cambria Math" w:eastAsia="Malgun Gothic" w:hAnsi="Cambria Math"/>
                <w:i/>
                <w:spacing w:val="2"/>
                <w:lang w:val="en-US" w:eastAsia="en-US"/>
              </w:rPr>
            </m:ctrlPr>
          </m:dPr>
          <m:e>
            <m:r>
              <w:rPr>
                <w:rFonts w:ascii="Cambria Math" w:eastAsia="Malgun Gothic" w:hAnsi="Cambria Math"/>
              </w:rPr>
              <m:t>l</m:t>
            </m:r>
          </m:e>
        </m:d>
      </m:oMath>
      <w:r w:rsidR="008A1446" w:rsidRPr="008A1446">
        <w:rPr>
          <w:rFonts w:eastAsia="Malgun Gothic"/>
        </w:rPr>
        <w:t xml:space="preserve"> </w:t>
      </w:r>
      <w:r w:rsidR="008A1446">
        <w:rPr>
          <w:rFonts w:eastAsia="Malgun Gothic"/>
        </w:rPr>
        <w:t xml:space="preserve">for </w:t>
      </w:r>
      <m:oMath>
        <m:r>
          <w:rPr>
            <w:rFonts w:ascii="Cambria Math" w:eastAsia="Malgun Gothic" w:hAnsi="Cambria Math"/>
          </w:rPr>
          <m:t>l=0,…,R-1</m:t>
        </m:r>
      </m:oMath>
      <w:r w:rsidR="008A1446">
        <w:rPr>
          <w:rFonts w:eastAsia="Malgun Gothic"/>
        </w:rPr>
        <w:t xml:space="preserve"> should be conveyed in UCI Part 1, however there are different approaches as to how this can be achieved.</w:t>
      </w:r>
    </w:p>
    <w:p w14:paraId="633FA52F" w14:textId="0E46538F" w:rsidR="005F4D4C" w:rsidRDefault="008A1446" w:rsidP="005F4D4C">
      <w:pPr>
        <w:pStyle w:val="BodyText"/>
        <w:rPr>
          <w:b/>
          <w:i/>
        </w:rPr>
      </w:pPr>
      <w:r>
        <w:rPr>
          <w:b/>
          <w:i/>
          <w:lang w:val="en-US"/>
        </w:rPr>
        <w:t xml:space="preserve">Approach 1: </w:t>
      </w:r>
      <w:r w:rsidR="005F4D4C">
        <w:rPr>
          <w:b/>
          <w:i/>
        </w:rPr>
        <w:t xml:space="preserve">Per layer </w:t>
      </w:r>
      <w:r w:rsidR="00EB78E5">
        <w:rPr>
          <w:b/>
          <w:i/>
        </w:rPr>
        <w:t>number of non-zero coefficient</w:t>
      </w:r>
      <w:r w:rsidR="005F4D4C">
        <w:rPr>
          <w:b/>
          <w:i/>
        </w:rPr>
        <w:t xml:space="preserve"> indication</w:t>
      </w:r>
    </w:p>
    <w:p w14:paraId="5D0C6A17" w14:textId="77777777" w:rsidR="00D11D3F" w:rsidRDefault="008A1446" w:rsidP="005F4D4C">
      <w:pPr>
        <w:pStyle w:val="BodyText"/>
      </w:pPr>
      <w:r>
        <w:t xml:space="preserve">In this approach, </w:t>
      </w:r>
      <w:r w:rsidR="005F4D4C">
        <w:t xml:space="preserve">the number of non-zero coefficients (NNZC) for each layer </w:t>
      </w:r>
      <m:oMath>
        <m:sSub>
          <m:sSubPr>
            <m:ctrlPr>
              <w:rPr>
                <w:rFonts w:ascii="Cambria Math" w:eastAsia="Malgun Gothic" w:hAnsi="Cambria Math"/>
                <w:i/>
                <w:spacing w:val="2"/>
                <w:lang w:val="en-US" w:eastAsia="en-US"/>
              </w:rPr>
            </m:ctrlPr>
          </m:sSubPr>
          <m:e>
            <m:r>
              <w:rPr>
                <w:rFonts w:ascii="Cambria Math" w:eastAsia="Malgun Gothic" w:hAnsi="Cambria Math"/>
              </w:rPr>
              <m:t>K</m:t>
            </m:r>
          </m:e>
          <m:sub>
            <m:r>
              <w:rPr>
                <w:rFonts w:ascii="Cambria Math" w:eastAsia="Malgun Gothic" w:hAnsi="Cambria Math"/>
              </w:rPr>
              <m:t>1</m:t>
            </m:r>
          </m:sub>
        </m:sSub>
        <m:d>
          <m:dPr>
            <m:ctrlPr>
              <w:rPr>
                <w:rFonts w:ascii="Cambria Math" w:eastAsia="Malgun Gothic" w:hAnsi="Cambria Math"/>
                <w:i/>
                <w:spacing w:val="2"/>
                <w:lang w:val="en-US" w:eastAsia="en-US"/>
              </w:rPr>
            </m:ctrlPr>
          </m:dPr>
          <m:e>
            <m:r>
              <w:rPr>
                <w:rFonts w:ascii="Cambria Math" w:eastAsia="Malgun Gothic" w:hAnsi="Cambria Math"/>
              </w:rPr>
              <m:t>l</m:t>
            </m:r>
          </m:e>
        </m:d>
      </m:oMath>
      <w:r w:rsidR="005F4D4C">
        <w:t xml:space="preserve"> is indicated with a layer-wise separate indicator in </w:t>
      </w:r>
      <w:r>
        <w:t>UCI</w:t>
      </w:r>
      <w:r w:rsidR="005F4D4C">
        <w:t xml:space="preserve"> Part 1. Since the rank selection of the UE is not known to the gNB prior to decoding CSI Part 1, the </w:t>
      </w:r>
      <w:r>
        <w:t>UCI</w:t>
      </w:r>
      <w:r w:rsidR="005F4D4C">
        <w:t xml:space="preserve"> Part 1 payload needs to be rank-</w:t>
      </w:r>
      <w:r>
        <w:t>independent</w:t>
      </w:r>
      <w:r w:rsidR="005F4D4C">
        <w:t>. In the general case</w:t>
      </w:r>
      <w:r>
        <w:t xml:space="preserve"> (pending </w:t>
      </w:r>
      <w:r w:rsidR="00D11D3F">
        <w:t>the higher rank codebook agreements)</w:t>
      </w:r>
      <w:r w:rsidR="005F4D4C">
        <w:t xml:space="preserve">, </w:t>
      </w:r>
      <m:oMath>
        <m:sSub>
          <m:sSubPr>
            <m:ctrlPr>
              <w:rPr>
                <w:rFonts w:ascii="Cambria Math" w:hAnsi="Cambria Math"/>
                <w:i/>
                <w:spacing w:val="2"/>
                <w:lang w:val="en-US" w:eastAsia="en-US"/>
              </w:rPr>
            </m:ctrlPr>
          </m:sSubPr>
          <m:e>
            <m:r>
              <w:rPr>
                <w:rFonts w:ascii="Cambria Math" w:hAnsi="Cambria Math"/>
              </w:rPr>
              <m:t>K</m:t>
            </m:r>
          </m:e>
          <m:sub>
            <m:r>
              <w:rPr>
                <w:rFonts w:ascii="Cambria Math" w:hAnsi="Cambria Math"/>
              </w:rPr>
              <m:t>0</m:t>
            </m:r>
          </m:sub>
        </m:sSub>
        <m:d>
          <m:dPr>
            <m:ctrlPr>
              <w:rPr>
                <w:rFonts w:ascii="Cambria Math" w:hAnsi="Cambria Math"/>
                <w:i/>
                <w:spacing w:val="2"/>
                <w:lang w:val="en-US" w:eastAsia="en-US"/>
              </w:rPr>
            </m:ctrlPr>
          </m:dPr>
          <m:e>
            <m:sSub>
              <m:sSubPr>
                <m:ctrlPr>
                  <w:rPr>
                    <w:rFonts w:ascii="Cambria Math" w:hAnsi="Cambria Math"/>
                    <w:i/>
                    <w:spacing w:val="2"/>
                    <w:lang w:val="en-US" w:eastAsia="en-US"/>
                  </w:rPr>
                </m:ctrlPr>
              </m:sSubPr>
              <m:e>
                <m:r>
                  <w:rPr>
                    <w:rFonts w:ascii="Cambria Math" w:hAnsi="Cambria Math"/>
                  </w:rPr>
                  <m:t>R</m:t>
                </m:r>
              </m:e>
              <m:sub>
                <m:r>
                  <w:rPr>
                    <w:rFonts w:ascii="Cambria Math" w:hAnsi="Cambria Math"/>
                  </w:rPr>
                  <m:t>i</m:t>
                </m:r>
              </m:sub>
            </m:sSub>
            <m:r>
              <w:rPr>
                <w:rFonts w:ascii="Cambria Math" w:hAnsi="Cambria Math"/>
              </w:rPr>
              <m:t>,l</m:t>
            </m:r>
          </m:e>
        </m:d>
        <m:r>
          <w:rPr>
            <w:rFonts w:ascii="Cambria Math" w:hAnsi="Cambria Math"/>
          </w:rPr>
          <m:t>≠</m:t>
        </m:r>
        <m:sSub>
          <m:sSubPr>
            <m:ctrlPr>
              <w:rPr>
                <w:rFonts w:ascii="Cambria Math" w:hAnsi="Cambria Math"/>
                <w:i/>
                <w:spacing w:val="2"/>
                <w:lang w:val="en-US" w:eastAsia="en-US"/>
              </w:rPr>
            </m:ctrlPr>
          </m:sSubPr>
          <m:e>
            <m:r>
              <w:rPr>
                <w:rFonts w:ascii="Cambria Math" w:hAnsi="Cambria Math"/>
              </w:rPr>
              <m:t>K</m:t>
            </m:r>
          </m:e>
          <m:sub>
            <m:r>
              <w:rPr>
                <w:rFonts w:ascii="Cambria Math" w:hAnsi="Cambria Math"/>
              </w:rPr>
              <m:t>0</m:t>
            </m:r>
          </m:sub>
        </m:sSub>
        <m:d>
          <m:dPr>
            <m:ctrlPr>
              <w:rPr>
                <w:rFonts w:ascii="Cambria Math" w:hAnsi="Cambria Math"/>
                <w:i/>
                <w:spacing w:val="2"/>
                <w:lang w:val="en-US" w:eastAsia="en-US"/>
              </w:rPr>
            </m:ctrlPr>
          </m:dPr>
          <m:e>
            <m:sSub>
              <m:sSubPr>
                <m:ctrlPr>
                  <w:rPr>
                    <w:rFonts w:ascii="Cambria Math" w:hAnsi="Cambria Math"/>
                    <w:i/>
                    <w:spacing w:val="2"/>
                    <w:lang w:val="en-US" w:eastAsia="en-US"/>
                  </w:rPr>
                </m:ctrlPr>
              </m:sSubPr>
              <m:e>
                <m:r>
                  <w:rPr>
                    <w:rFonts w:ascii="Cambria Math" w:hAnsi="Cambria Math"/>
                  </w:rPr>
                  <m:t>R</m:t>
                </m:r>
              </m:e>
              <m:sub>
                <m:r>
                  <w:rPr>
                    <w:rFonts w:ascii="Cambria Math" w:hAnsi="Cambria Math"/>
                  </w:rPr>
                  <m:t>j</m:t>
                </m:r>
              </m:sub>
            </m:sSub>
            <m:r>
              <w:rPr>
                <w:rFonts w:ascii="Cambria Math" w:hAnsi="Cambria Math"/>
              </w:rPr>
              <m:t>,l</m:t>
            </m:r>
          </m:e>
        </m:d>
      </m:oMath>
      <w:r w:rsidR="005F4D4C">
        <w:t xml:space="preserve"> and the maximum NNZC for a layer may be rank-dependent.</w:t>
      </w:r>
    </w:p>
    <w:p w14:paraId="1BB0E49A" w14:textId="275E5BAE" w:rsidR="005F4D4C" w:rsidRDefault="005F4D4C" w:rsidP="005F4D4C">
      <w:pPr>
        <w:pStyle w:val="BodyText"/>
      </w:pPr>
      <w:r>
        <w:t>In this case, the indication of the NNZC</w:t>
      </w:r>
      <w:r w:rsidR="00D11D3F">
        <w:t>s</w:t>
      </w:r>
      <w:r>
        <w:t xml:space="preserve"> may have the bitwidth </w:t>
      </w:r>
      <m:oMath>
        <m:d>
          <m:dPr>
            <m:begChr m:val="⌈"/>
            <m:endChr m:val="⌉"/>
            <m:ctrlPr>
              <w:rPr>
                <w:rFonts w:ascii="Cambria Math" w:hAnsi="Cambria Math"/>
                <w:i/>
                <w:spacing w:val="2"/>
                <w:lang w:val="en-US" w:eastAsia="en-US"/>
              </w:rPr>
            </m:ctrlPr>
          </m:dPr>
          <m:e>
            <m:func>
              <m:funcPr>
                <m:ctrlPr>
                  <w:rPr>
                    <w:rFonts w:ascii="Cambria Math" w:hAnsi="Cambria Math"/>
                    <w:i/>
                    <w:spacing w:val="2"/>
                    <w:lang w:val="en-US" w:eastAsia="en-US"/>
                  </w:rPr>
                </m:ctrlPr>
              </m:funcPr>
              <m:fName>
                <m:sSub>
                  <m:sSubPr>
                    <m:ctrlPr>
                      <w:rPr>
                        <w:rFonts w:ascii="Cambria Math" w:hAnsi="Cambria Math"/>
                        <w:i/>
                        <w:spacing w:val="2"/>
                        <w:lang w:val="en-US" w:eastAsia="en-US"/>
                      </w:rPr>
                    </m:ctrlPr>
                  </m:sSubPr>
                  <m:e>
                    <m:r>
                      <m:rPr>
                        <m:sty m:val="p"/>
                      </m:rPr>
                      <w:rPr>
                        <w:rFonts w:ascii="Cambria Math" w:hAnsi="Cambria Math"/>
                      </w:rPr>
                      <m:t>log</m:t>
                    </m:r>
                    <m:ctrlPr>
                      <w:rPr>
                        <w:rFonts w:ascii="Cambria Math" w:hAnsi="Cambria Math"/>
                        <w:spacing w:val="2"/>
                        <w:lang w:val="en-US" w:eastAsia="en-US"/>
                      </w:rPr>
                    </m:ctrlPr>
                  </m:e>
                  <m:sub>
                    <m:r>
                      <w:rPr>
                        <w:rFonts w:ascii="Cambria Math" w:hAnsi="Cambria Math"/>
                      </w:rPr>
                      <m:t>2</m:t>
                    </m:r>
                    <m:ctrlPr>
                      <w:rPr>
                        <w:rFonts w:ascii="Cambria Math" w:hAnsi="Cambria Math"/>
                        <w:spacing w:val="2"/>
                        <w:lang w:val="en-US" w:eastAsia="en-US"/>
                      </w:rPr>
                    </m:ctrlPr>
                  </m:sub>
                </m:sSub>
              </m:fName>
              <m:e>
                <m:func>
                  <m:funcPr>
                    <m:ctrlPr>
                      <w:rPr>
                        <w:rFonts w:ascii="Cambria Math" w:hAnsi="Cambria Math"/>
                        <w:i/>
                        <w:spacing w:val="2"/>
                        <w:lang w:val="en-US" w:eastAsia="en-US"/>
                      </w:rPr>
                    </m:ctrlPr>
                  </m:funcPr>
                  <m:fName>
                    <m:limLow>
                      <m:limLowPr>
                        <m:ctrlPr>
                          <w:rPr>
                            <w:rFonts w:ascii="Cambria Math" w:hAnsi="Cambria Math"/>
                            <w:i/>
                            <w:spacing w:val="2"/>
                            <w:lang w:val="en-US" w:eastAsia="en-US"/>
                          </w:rPr>
                        </m:ctrlPr>
                      </m:limLowPr>
                      <m:e>
                        <m:r>
                          <m:rPr>
                            <m:sty m:val="p"/>
                          </m:rPr>
                          <w:rPr>
                            <w:rFonts w:ascii="Cambria Math" w:hAnsi="Cambria Math"/>
                          </w:rPr>
                          <m:t>max</m:t>
                        </m:r>
                      </m:e>
                      <m:lim>
                        <m:r>
                          <w:rPr>
                            <w:rFonts w:ascii="Cambria Math" w:hAnsi="Cambria Math"/>
                          </w:rPr>
                          <m:t>R</m:t>
                        </m:r>
                      </m:lim>
                    </m:limLow>
                  </m:fName>
                  <m:e>
                    <m:sSub>
                      <m:sSubPr>
                        <m:ctrlPr>
                          <w:rPr>
                            <w:rFonts w:ascii="Cambria Math" w:eastAsia="Malgun Gothic" w:hAnsi="Cambria Math"/>
                            <w:i/>
                            <w:spacing w:val="2"/>
                            <w:lang w:val="en-US" w:eastAsia="en-US"/>
                          </w:rPr>
                        </m:ctrlPr>
                      </m:sSubPr>
                      <m:e>
                        <m:r>
                          <w:rPr>
                            <w:rFonts w:ascii="Cambria Math" w:eastAsia="Malgun Gothic" w:hAnsi="Cambria Math"/>
                          </w:rPr>
                          <m:t>K</m:t>
                        </m:r>
                      </m:e>
                      <m:sub>
                        <m:r>
                          <w:rPr>
                            <w:rFonts w:ascii="Cambria Math" w:eastAsia="Malgun Gothic" w:hAnsi="Cambria Math"/>
                          </w:rPr>
                          <m:t>0</m:t>
                        </m:r>
                      </m:sub>
                    </m:sSub>
                    <m:d>
                      <m:dPr>
                        <m:ctrlPr>
                          <w:rPr>
                            <w:rFonts w:ascii="Cambria Math" w:eastAsia="Malgun Gothic" w:hAnsi="Cambria Math"/>
                            <w:i/>
                            <w:spacing w:val="2"/>
                            <w:lang w:val="en-US" w:eastAsia="en-US"/>
                          </w:rPr>
                        </m:ctrlPr>
                      </m:dPr>
                      <m:e>
                        <m:r>
                          <w:rPr>
                            <w:rFonts w:ascii="Cambria Math" w:eastAsia="Malgun Gothic" w:hAnsi="Cambria Math"/>
                          </w:rPr>
                          <m:t>R,l</m:t>
                        </m:r>
                      </m:e>
                    </m:d>
                  </m:e>
                </m:func>
              </m:e>
            </m:func>
          </m:e>
        </m:d>
      </m:oMath>
      <w:r>
        <w:t>, i.e. it is set according to the maximum</w:t>
      </w:r>
      <w:r w:rsidR="00D11D3F">
        <w:t xml:space="preserve"> configured</w:t>
      </w:r>
      <w:r>
        <w:t xml:space="preserve"> </w:t>
      </w:r>
      <m:oMath>
        <m:sSub>
          <m:sSubPr>
            <m:ctrlPr>
              <w:rPr>
                <w:rFonts w:ascii="Cambria Math" w:hAnsi="Cambria Math"/>
                <w:i/>
                <w:spacing w:val="2"/>
                <w:lang w:val="en-US" w:eastAsia="en-US"/>
              </w:rPr>
            </m:ctrlPr>
          </m:sSubPr>
          <m:e>
            <m:r>
              <w:rPr>
                <w:rFonts w:ascii="Cambria Math" w:hAnsi="Cambria Math"/>
              </w:rPr>
              <m:t>K</m:t>
            </m:r>
          </m:e>
          <m:sub>
            <m:r>
              <w:rPr>
                <w:rFonts w:ascii="Cambria Math" w:hAnsi="Cambria Math"/>
              </w:rPr>
              <m:t>0</m:t>
            </m:r>
          </m:sub>
        </m:sSub>
      </m:oMath>
      <w:r>
        <w:t xml:space="preserve"> value across the rank hypotheses. This enables the CSI Part 1 payload to be constant irrespective of UEs rank selection. The indicator of the NNZC is reported for each layer </w:t>
      </w:r>
      <m:oMath>
        <m:r>
          <w:rPr>
            <w:rFonts w:ascii="Cambria Math" w:hAnsi="Cambria Math"/>
          </w:rPr>
          <m:t>l=0,…,</m:t>
        </m:r>
        <m:sSub>
          <m:sSubPr>
            <m:ctrlPr>
              <w:rPr>
                <w:rFonts w:ascii="Cambria Math" w:hAnsi="Cambria Math"/>
                <w:i/>
                <w:spacing w:val="2"/>
                <w:lang w:val="en-US" w:eastAsia="en-US"/>
              </w:rPr>
            </m:ctrlPr>
          </m:sSubPr>
          <m:e>
            <m:r>
              <w:rPr>
                <w:rFonts w:ascii="Cambria Math" w:hAnsi="Cambria Math"/>
              </w:rPr>
              <m:t>R</m:t>
            </m:r>
          </m:e>
          <m:sub>
            <m:r>
              <w:rPr>
                <w:rFonts w:ascii="Cambria Math" w:hAnsi="Cambria Math"/>
              </w:rPr>
              <m:t>max</m:t>
            </m:r>
          </m:sub>
        </m:sSub>
        <m:r>
          <w:rPr>
            <w:rFonts w:ascii="Cambria Math" w:hAnsi="Cambria Math"/>
          </w:rPr>
          <m:t>-1</m:t>
        </m:r>
      </m:oMath>
      <w:r>
        <w:t xml:space="preserve"> where </w:t>
      </w:r>
      <m:oMath>
        <m:sSub>
          <m:sSubPr>
            <m:ctrlPr>
              <w:rPr>
                <w:rFonts w:ascii="Cambria Math" w:hAnsi="Cambria Math"/>
                <w:i/>
                <w:spacing w:val="2"/>
                <w:lang w:val="en-US" w:eastAsia="en-US"/>
              </w:rPr>
            </m:ctrlPr>
          </m:sSubPr>
          <m:e>
            <m:r>
              <w:rPr>
                <w:rFonts w:ascii="Cambria Math" w:hAnsi="Cambria Math"/>
              </w:rPr>
              <m:t>R</m:t>
            </m:r>
          </m:e>
          <m:sub>
            <m:r>
              <w:rPr>
                <w:rFonts w:ascii="Cambria Math" w:hAnsi="Cambria Math"/>
              </w:rPr>
              <m:t>max</m:t>
            </m:r>
          </m:sub>
        </m:sSub>
        <m:r>
          <w:rPr>
            <w:rFonts w:ascii="Cambria Math" w:hAnsi="Cambria Math"/>
          </w:rPr>
          <m:t xml:space="preserve"> </m:t>
        </m:r>
      </m:oMath>
      <w:r>
        <w:t xml:space="preserve">is the maximum rank a UE can report. For </w:t>
      </w:r>
      <m:oMath>
        <m:sSub>
          <m:sSubPr>
            <m:ctrlPr>
              <w:rPr>
                <w:rFonts w:ascii="Cambria Math" w:hAnsi="Cambria Math"/>
                <w:i/>
                <w:spacing w:val="2"/>
                <w:lang w:val="en-US" w:eastAsia="en-US"/>
              </w:rPr>
            </m:ctrlPr>
          </m:sSubPr>
          <m:e>
            <m:r>
              <w:rPr>
                <w:rFonts w:ascii="Cambria Math" w:hAnsi="Cambria Math"/>
              </w:rPr>
              <m:t>R</m:t>
            </m:r>
          </m:e>
          <m:sub>
            <m:r>
              <w:rPr>
                <w:rFonts w:ascii="Cambria Math" w:hAnsi="Cambria Math"/>
              </w:rPr>
              <m:t>max</m:t>
            </m:r>
          </m:sub>
        </m:sSub>
        <m:r>
          <w:rPr>
            <w:rFonts w:ascii="Cambria Math" w:hAnsi="Cambria Math"/>
          </w:rPr>
          <m:t>=4</m:t>
        </m:r>
      </m:oMath>
      <w:r>
        <w:t xml:space="preserve">, the payload is thus </w:t>
      </w:r>
      <m:oMath>
        <m:nary>
          <m:naryPr>
            <m:chr m:val="∑"/>
            <m:limLoc m:val="undOvr"/>
            <m:ctrlPr>
              <w:rPr>
                <w:rFonts w:ascii="Cambria Math" w:hAnsi="Cambria Math"/>
                <w:i/>
                <w:spacing w:val="2"/>
                <w:lang w:val="en-US" w:eastAsia="en-US"/>
              </w:rPr>
            </m:ctrlPr>
          </m:naryPr>
          <m:sub>
            <m:r>
              <w:rPr>
                <w:rFonts w:ascii="Cambria Math" w:hAnsi="Cambria Math"/>
              </w:rPr>
              <m:t>l=0</m:t>
            </m:r>
          </m:sub>
          <m:sup>
            <m:r>
              <w:rPr>
                <w:rFonts w:ascii="Cambria Math" w:hAnsi="Cambria Math"/>
              </w:rPr>
              <m:t>3</m:t>
            </m:r>
          </m:sup>
          <m:e>
            <m:d>
              <m:dPr>
                <m:begChr m:val="⌈"/>
                <m:endChr m:val="⌉"/>
                <m:ctrlPr>
                  <w:rPr>
                    <w:rFonts w:ascii="Cambria Math" w:hAnsi="Cambria Math"/>
                    <w:i/>
                    <w:spacing w:val="2"/>
                    <w:lang w:val="en-US" w:eastAsia="en-US"/>
                  </w:rPr>
                </m:ctrlPr>
              </m:dPr>
              <m:e>
                <m:func>
                  <m:funcPr>
                    <m:ctrlPr>
                      <w:rPr>
                        <w:rFonts w:ascii="Cambria Math" w:hAnsi="Cambria Math"/>
                        <w:i/>
                        <w:spacing w:val="2"/>
                        <w:lang w:val="en-US" w:eastAsia="en-US"/>
                      </w:rPr>
                    </m:ctrlPr>
                  </m:funcPr>
                  <m:fName>
                    <m:sSub>
                      <m:sSubPr>
                        <m:ctrlPr>
                          <w:rPr>
                            <w:rFonts w:ascii="Cambria Math" w:hAnsi="Cambria Math"/>
                            <w:i/>
                            <w:spacing w:val="2"/>
                            <w:lang w:val="en-US" w:eastAsia="en-US"/>
                          </w:rPr>
                        </m:ctrlPr>
                      </m:sSubPr>
                      <m:e>
                        <m:r>
                          <m:rPr>
                            <m:sty m:val="p"/>
                          </m:rPr>
                          <w:rPr>
                            <w:rFonts w:ascii="Cambria Math" w:hAnsi="Cambria Math"/>
                          </w:rPr>
                          <m:t>log</m:t>
                        </m:r>
                        <m:ctrlPr>
                          <w:rPr>
                            <w:rFonts w:ascii="Cambria Math" w:hAnsi="Cambria Math"/>
                            <w:spacing w:val="2"/>
                            <w:lang w:val="en-US" w:eastAsia="en-US"/>
                          </w:rPr>
                        </m:ctrlPr>
                      </m:e>
                      <m:sub>
                        <m:r>
                          <w:rPr>
                            <w:rFonts w:ascii="Cambria Math" w:hAnsi="Cambria Math"/>
                          </w:rPr>
                          <m:t>2</m:t>
                        </m:r>
                        <m:ctrlPr>
                          <w:rPr>
                            <w:rFonts w:ascii="Cambria Math" w:hAnsi="Cambria Math"/>
                            <w:spacing w:val="2"/>
                            <w:lang w:val="en-US" w:eastAsia="en-US"/>
                          </w:rPr>
                        </m:ctrlPr>
                      </m:sub>
                    </m:sSub>
                  </m:fName>
                  <m:e>
                    <m:func>
                      <m:funcPr>
                        <m:ctrlPr>
                          <w:rPr>
                            <w:rFonts w:ascii="Cambria Math" w:hAnsi="Cambria Math"/>
                            <w:i/>
                            <w:spacing w:val="2"/>
                            <w:lang w:val="en-US" w:eastAsia="en-US"/>
                          </w:rPr>
                        </m:ctrlPr>
                      </m:funcPr>
                      <m:fName>
                        <m:limLow>
                          <m:limLowPr>
                            <m:ctrlPr>
                              <w:rPr>
                                <w:rFonts w:ascii="Cambria Math" w:hAnsi="Cambria Math"/>
                                <w:i/>
                                <w:spacing w:val="2"/>
                                <w:lang w:val="en-US" w:eastAsia="en-US"/>
                              </w:rPr>
                            </m:ctrlPr>
                          </m:limLowPr>
                          <m:e>
                            <m:r>
                              <m:rPr>
                                <m:sty m:val="p"/>
                              </m:rPr>
                              <w:rPr>
                                <w:rFonts w:ascii="Cambria Math" w:hAnsi="Cambria Math"/>
                              </w:rPr>
                              <m:t>max</m:t>
                            </m:r>
                          </m:e>
                          <m:lim>
                            <m:r>
                              <w:rPr>
                                <w:rFonts w:ascii="Cambria Math" w:hAnsi="Cambria Math"/>
                              </w:rPr>
                              <m:t>R</m:t>
                            </m:r>
                          </m:lim>
                        </m:limLow>
                      </m:fName>
                      <m:e>
                        <m:sSub>
                          <m:sSubPr>
                            <m:ctrlPr>
                              <w:rPr>
                                <w:rFonts w:ascii="Cambria Math" w:eastAsia="Malgun Gothic" w:hAnsi="Cambria Math"/>
                                <w:i/>
                                <w:spacing w:val="2"/>
                                <w:lang w:val="en-US" w:eastAsia="en-US"/>
                              </w:rPr>
                            </m:ctrlPr>
                          </m:sSubPr>
                          <m:e>
                            <m:r>
                              <w:rPr>
                                <w:rFonts w:ascii="Cambria Math" w:eastAsia="Malgun Gothic" w:hAnsi="Cambria Math"/>
                              </w:rPr>
                              <m:t>K</m:t>
                            </m:r>
                          </m:e>
                          <m:sub>
                            <m:r>
                              <w:rPr>
                                <w:rFonts w:ascii="Cambria Math" w:eastAsia="Malgun Gothic" w:hAnsi="Cambria Math"/>
                              </w:rPr>
                              <m:t>0</m:t>
                            </m:r>
                          </m:sub>
                        </m:sSub>
                        <m:d>
                          <m:dPr>
                            <m:ctrlPr>
                              <w:rPr>
                                <w:rFonts w:ascii="Cambria Math" w:eastAsia="Malgun Gothic" w:hAnsi="Cambria Math"/>
                                <w:i/>
                                <w:spacing w:val="2"/>
                                <w:lang w:val="en-US" w:eastAsia="en-US"/>
                              </w:rPr>
                            </m:ctrlPr>
                          </m:dPr>
                          <m:e>
                            <m:r>
                              <w:rPr>
                                <w:rFonts w:ascii="Cambria Math" w:eastAsia="Malgun Gothic" w:hAnsi="Cambria Math"/>
                              </w:rPr>
                              <m:t>R,l</m:t>
                            </m:r>
                          </m:e>
                        </m:d>
                      </m:e>
                    </m:func>
                  </m:e>
                </m:func>
              </m:e>
            </m:d>
          </m:e>
        </m:nary>
      </m:oMath>
      <w:r>
        <w:t>.</w:t>
      </w:r>
      <w:r w:rsidR="007E09A4">
        <w:t xml:space="preserve"> The maximum ra</w:t>
      </w:r>
      <w:r w:rsidR="00AC1BCF">
        <w:t>n</w:t>
      </w:r>
      <w:r w:rsidR="007E09A4">
        <w:t>k</w:t>
      </w:r>
      <w:r w:rsidR="00AC1BCF">
        <w:t xml:space="preserve"> would depend on which codebook is used (i.e. rank 3,4 </w:t>
      </w:r>
      <w:r w:rsidR="00DF21AD">
        <w:t>codebooks</w:t>
      </w:r>
      <w:r w:rsidR="00AC1BCF">
        <w:t xml:space="preserve"> ON or OFF) and the RI restriction.</w:t>
      </w:r>
    </w:p>
    <w:p w14:paraId="560BA0FD" w14:textId="3E8484D4" w:rsidR="005F4D4C" w:rsidRDefault="005F4D4C" w:rsidP="005F4D4C">
      <w:pPr>
        <w:pStyle w:val="BodyText"/>
        <w:rPr>
          <w:spacing w:val="2"/>
          <w:lang w:val="en-US" w:eastAsia="en-US"/>
        </w:rPr>
      </w:pPr>
      <w:r>
        <w:t xml:space="preserve">Here, it </w:t>
      </w:r>
      <w:r w:rsidR="007E09A4">
        <w:t xml:space="preserve">is </w:t>
      </w:r>
      <w:r>
        <w:t xml:space="preserve">assumed that at least one coefficient is non-zero for each layer and hence only the value range </w:t>
      </w:r>
      <m:oMath>
        <m:sSub>
          <m:sSubPr>
            <m:ctrlPr>
              <w:rPr>
                <w:rFonts w:ascii="Cambria Math" w:hAnsi="Cambria Math"/>
                <w:i/>
                <w:spacing w:val="2"/>
                <w:lang w:val="en-US" w:eastAsia="en-US"/>
              </w:rPr>
            </m:ctrlPr>
          </m:sSubPr>
          <m:e>
            <m:r>
              <w:rPr>
                <w:rFonts w:ascii="Cambria Math" w:hAnsi="Cambria Math"/>
              </w:rPr>
              <m:t>K</m:t>
            </m:r>
          </m:e>
          <m:sub>
            <m:r>
              <w:rPr>
                <w:rFonts w:ascii="Cambria Math" w:hAnsi="Cambria Math"/>
              </w:rPr>
              <m:t>1</m:t>
            </m:r>
          </m:sub>
        </m:sSub>
        <m:r>
          <w:rPr>
            <w:rFonts w:ascii="Cambria Math" w:hAnsi="Cambria Math"/>
          </w:rPr>
          <m:t>=1,…,</m:t>
        </m:r>
        <m:sSub>
          <m:sSubPr>
            <m:ctrlPr>
              <w:rPr>
                <w:rFonts w:ascii="Cambria Math" w:hAnsi="Cambria Math"/>
                <w:i/>
                <w:spacing w:val="2"/>
                <w:lang w:val="en-US" w:eastAsia="en-US"/>
              </w:rPr>
            </m:ctrlPr>
          </m:sSubPr>
          <m:e>
            <m:r>
              <w:rPr>
                <w:rFonts w:ascii="Cambria Math" w:hAnsi="Cambria Math"/>
              </w:rPr>
              <m:t>K</m:t>
            </m:r>
          </m:e>
          <m:sub>
            <m:r>
              <w:rPr>
                <w:rFonts w:ascii="Cambria Math" w:hAnsi="Cambria Math"/>
              </w:rPr>
              <m:t>0</m:t>
            </m:r>
          </m:sub>
        </m:sSub>
      </m:oMath>
      <w:r>
        <w:t xml:space="preserve"> needs to be </w:t>
      </w:r>
      <w:r w:rsidR="007E09A4">
        <w:t>signalled</w:t>
      </w:r>
      <w:r w:rsidR="0085246D">
        <w:t xml:space="preserve">, otherwise the payload would be </w:t>
      </w:r>
      <m:oMath>
        <m:d>
          <m:dPr>
            <m:begChr m:val="⌈"/>
            <m:endChr m:val="⌉"/>
            <m:ctrlPr>
              <w:rPr>
                <w:rFonts w:ascii="Cambria Math" w:hAnsi="Cambria Math"/>
                <w:i/>
                <w:spacing w:val="2"/>
                <w:lang w:val="en-US" w:eastAsia="en-US"/>
              </w:rPr>
            </m:ctrlPr>
          </m:dPr>
          <m:e>
            <m:func>
              <m:funcPr>
                <m:ctrlPr>
                  <w:rPr>
                    <w:rFonts w:ascii="Cambria Math" w:hAnsi="Cambria Math"/>
                    <w:i/>
                    <w:spacing w:val="2"/>
                    <w:lang w:val="en-US" w:eastAsia="en-US"/>
                  </w:rPr>
                </m:ctrlPr>
              </m:funcPr>
              <m:fName>
                <m:sSub>
                  <m:sSubPr>
                    <m:ctrlPr>
                      <w:rPr>
                        <w:rFonts w:ascii="Cambria Math" w:hAnsi="Cambria Math"/>
                        <w:i/>
                        <w:spacing w:val="2"/>
                        <w:lang w:val="en-US" w:eastAsia="en-US"/>
                      </w:rPr>
                    </m:ctrlPr>
                  </m:sSubPr>
                  <m:e>
                    <m:r>
                      <m:rPr>
                        <m:sty m:val="p"/>
                      </m:rPr>
                      <w:rPr>
                        <w:rFonts w:ascii="Cambria Math" w:hAnsi="Cambria Math"/>
                      </w:rPr>
                      <m:t>log</m:t>
                    </m:r>
                    <m:ctrlPr>
                      <w:rPr>
                        <w:rFonts w:ascii="Cambria Math" w:hAnsi="Cambria Math"/>
                        <w:spacing w:val="2"/>
                        <w:lang w:val="en-US" w:eastAsia="en-US"/>
                      </w:rPr>
                    </m:ctrlPr>
                  </m:e>
                  <m:sub>
                    <m:r>
                      <w:rPr>
                        <w:rFonts w:ascii="Cambria Math" w:hAnsi="Cambria Math"/>
                      </w:rPr>
                      <m:t>2</m:t>
                    </m:r>
                    <m:ctrlPr>
                      <w:rPr>
                        <w:rFonts w:ascii="Cambria Math" w:hAnsi="Cambria Math"/>
                        <w:spacing w:val="2"/>
                        <w:lang w:val="en-US" w:eastAsia="en-US"/>
                      </w:rPr>
                    </m:ctrlPr>
                  </m:sub>
                </m:sSub>
              </m:fName>
              <m:e>
                <m:r>
                  <w:rPr>
                    <w:rFonts w:ascii="Cambria Math" w:hAnsi="Cambria Math"/>
                    <w:spacing w:val="2"/>
                    <w:lang w:val="en-US" w:eastAsia="en-US"/>
                  </w:rPr>
                  <m:t>(1+</m:t>
                </m:r>
                <m:func>
                  <m:funcPr>
                    <m:ctrlPr>
                      <w:rPr>
                        <w:rFonts w:ascii="Cambria Math" w:hAnsi="Cambria Math"/>
                        <w:i/>
                        <w:spacing w:val="2"/>
                        <w:lang w:val="en-US" w:eastAsia="en-US"/>
                      </w:rPr>
                    </m:ctrlPr>
                  </m:funcPr>
                  <m:fName>
                    <m:limLow>
                      <m:limLowPr>
                        <m:ctrlPr>
                          <w:rPr>
                            <w:rFonts w:ascii="Cambria Math" w:hAnsi="Cambria Math"/>
                            <w:i/>
                            <w:spacing w:val="2"/>
                            <w:lang w:val="en-US" w:eastAsia="en-US"/>
                          </w:rPr>
                        </m:ctrlPr>
                      </m:limLowPr>
                      <m:e>
                        <m:r>
                          <m:rPr>
                            <m:sty m:val="p"/>
                          </m:rPr>
                          <w:rPr>
                            <w:rFonts w:ascii="Cambria Math" w:hAnsi="Cambria Math"/>
                          </w:rPr>
                          <m:t>max</m:t>
                        </m:r>
                      </m:e>
                      <m:lim>
                        <m:r>
                          <w:rPr>
                            <w:rFonts w:ascii="Cambria Math" w:hAnsi="Cambria Math"/>
                          </w:rPr>
                          <m:t>R</m:t>
                        </m:r>
                      </m:lim>
                    </m:limLow>
                  </m:fName>
                  <m:e>
                    <m:sSub>
                      <m:sSubPr>
                        <m:ctrlPr>
                          <w:rPr>
                            <w:rFonts w:ascii="Cambria Math" w:eastAsia="Malgun Gothic" w:hAnsi="Cambria Math"/>
                            <w:i/>
                            <w:spacing w:val="2"/>
                            <w:lang w:val="en-US" w:eastAsia="en-US"/>
                          </w:rPr>
                        </m:ctrlPr>
                      </m:sSubPr>
                      <m:e>
                        <m:r>
                          <w:rPr>
                            <w:rFonts w:ascii="Cambria Math" w:eastAsia="Malgun Gothic" w:hAnsi="Cambria Math"/>
                          </w:rPr>
                          <m:t>K</m:t>
                        </m:r>
                      </m:e>
                      <m:sub>
                        <m:r>
                          <w:rPr>
                            <w:rFonts w:ascii="Cambria Math" w:eastAsia="Malgun Gothic" w:hAnsi="Cambria Math"/>
                          </w:rPr>
                          <m:t>0</m:t>
                        </m:r>
                      </m:sub>
                    </m:sSub>
                    <m:d>
                      <m:dPr>
                        <m:ctrlPr>
                          <w:rPr>
                            <w:rFonts w:ascii="Cambria Math" w:eastAsia="Malgun Gothic" w:hAnsi="Cambria Math"/>
                            <w:i/>
                            <w:spacing w:val="2"/>
                            <w:lang w:val="en-US" w:eastAsia="en-US"/>
                          </w:rPr>
                        </m:ctrlPr>
                      </m:dPr>
                      <m:e>
                        <m:r>
                          <w:rPr>
                            <w:rFonts w:ascii="Cambria Math" w:eastAsia="Malgun Gothic" w:hAnsi="Cambria Math"/>
                          </w:rPr>
                          <m:t>R,l</m:t>
                        </m:r>
                      </m:e>
                    </m:d>
                    <m:r>
                      <w:rPr>
                        <w:rFonts w:ascii="Cambria Math" w:eastAsia="Malgun Gothic" w:hAnsi="Cambria Math"/>
                        <w:spacing w:val="2"/>
                        <w:lang w:val="en-US" w:eastAsia="en-US"/>
                      </w:rPr>
                      <m:t>)</m:t>
                    </m:r>
                  </m:e>
                </m:func>
              </m:e>
            </m:func>
          </m:e>
        </m:d>
      </m:oMath>
      <w:r w:rsidR="0085246D">
        <w:rPr>
          <w:spacing w:val="2"/>
          <w:lang w:val="en-US" w:eastAsia="en-US"/>
        </w:rPr>
        <w:t>.</w:t>
      </w:r>
    </w:p>
    <w:p w14:paraId="7CE893D3" w14:textId="55F74E09" w:rsidR="00F70E75" w:rsidRDefault="00F70E75" w:rsidP="00F70E75">
      <w:pPr>
        <w:pStyle w:val="Observation"/>
        <w:rPr>
          <w:lang w:val="en-US" w:eastAsia="en-US"/>
        </w:rPr>
      </w:pPr>
      <w:bookmarkStart w:id="2" w:name="_Toc4774084"/>
      <w:r>
        <w:rPr>
          <w:lang w:val="en-US" w:eastAsia="en-US"/>
        </w:rPr>
        <w:t>The encoding of NNZC</w:t>
      </w:r>
      <w:r w:rsidR="00F043A3">
        <w:rPr>
          <w:lang w:val="en-US" w:eastAsia="en-US"/>
        </w:rPr>
        <w:t xml:space="preserve"> indicators must be rank-independent as UCI Part 1 payload is fixed</w:t>
      </w:r>
      <w:bookmarkEnd w:id="2"/>
    </w:p>
    <w:p w14:paraId="7D6D3355" w14:textId="04667BE3" w:rsidR="006D7522" w:rsidRDefault="00D272B4" w:rsidP="006D7522">
      <w:pPr>
        <w:pStyle w:val="BodyText"/>
      </w:pPr>
      <w:r>
        <w:t xml:space="preserve">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=0 </m:t>
        </m:r>
      </m:oMath>
      <w:r w:rsidR="00385993">
        <w:t>is included in the value range, a separate RI indication would not be needed an instead the RI could b</w:t>
      </w:r>
      <w:r w:rsidR="00495524">
        <w:t>e</w:t>
      </w:r>
      <w:r w:rsidR="00385993">
        <w:t xml:space="preserve"> determined </w:t>
      </w:r>
      <w:r w:rsidR="006D7522">
        <w:t>implicitly</w:t>
      </w:r>
      <w:r w:rsidR="00385993">
        <w:t xml:space="preserve"> be observing which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6D7522">
        <w:t xml:space="preserve"> values are set to zero. However, in our view it is clearer to include the RI as an independent parameter. </w:t>
      </w:r>
    </w:p>
    <w:p w14:paraId="67A77A92" w14:textId="39811298" w:rsidR="005F4D4C" w:rsidRDefault="006D7522" w:rsidP="006D7522">
      <w:pPr>
        <w:pStyle w:val="BodyText"/>
      </w:pPr>
      <w:r>
        <w:t>The RI could</w:t>
      </w:r>
      <w:r w:rsidR="009A1714">
        <w:t xml:space="preserve"> either be independently encoded or jointly encoded with the NNZCIs. A </w:t>
      </w:r>
      <w:r w:rsidR="00EB78E5">
        <w:t xml:space="preserve">toy </w:t>
      </w:r>
      <w:r w:rsidR="009A1714">
        <w:t>example of joint encoding is given in Table 3 below.</w:t>
      </w:r>
    </w:p>
    <w:p w14:paraId="1F162BE7" w14:textId="43C54C2F" w:rsidR="005F4D4C" w:rsidRDefault="005F4D4C" w:rsidP="005F4D4C">
      <w:pPr>
        <w:pStyle w:val="Caption"/>
        <w:keepNext/>
      </w:pPr>
      <w:r>
        <w:t xml:space="preserve">Table </w:t>
      </w:r>
      <w:r>
        <w:rPr>
          <w:noProof/>
        </w:rPr>
        <w:fldChar w:fldCharType="begin"/>
      </w:r>
      <w:r>
        <w:rPr>
          <w:noProof/>
        </w:rPr>
        <w:instrText xml:space="preserve"> SEQ Table \* ARABIC </w:instrText>
      </w:r>
      <w:r>
        <w:rPr>
          <w:noProof/>
        </w:rPr>
        <w:fldChar w:fldCharType="separate"/>
      </w:r>
      <w:r w:rsidR="00D272B4">
        <w:rPr>
          <w:noProof/>
        </w:rPr>
        <w:t>3</w:t>
      </w:r>
      <w:r>
        <w:rPr>
          <w:noProof/>
        </w:rPr>
        <w:fldChar w:fldCharType="end"/>
      </w:r>
      <w:r>
        <w:t>: Example of joint encoding of RI and NNZCI per layer</w:t>
      </w:r>
    </w:p>
    <w:tbl>
      <w:tblPr>
        <w:tblStyle w:val="TableGrid"/>
        <w:tblW w:w="0" w:type="auto"/>
        <w:jc w:val="center"/>
        <w:tblLook w:val="04A0" w:firstRow="1" w:lastRow="0" w:firstColumn="1" w:lastColumn="0" w:noHBand="0" w:noVBand="1"/>
      </w:tblPr>
      <w:tblGrid>
        <w:gridCol w:w="1111"/>
        <w:gridCol w:w="416"/>
        <w:gridCol w:w="866"/>
        <w:gridCol w:w="866"/>
      </w:tblGrid>
      <w:tr w:rsidR="005F4D4C" w14:paraId="4D895092" w14:textId="77777777" w:rsidTr="005F4D4C">
        <w:trPr>
          <w:jc w:val="center"/>
        </w:trPr>
        <w:tc>
          <w:tcPr>
            <w:tcW w:w="0" w:type="auto"/>
            <w:tcBorders>
              <w:top w:val="single" w:sz="4" w:space="0" w:color="auto"/>
              <w:left w:val="single" w:sz="4" w:space="0" w:color="auto"/>
              <w:bottom w:val="single" w:sz="4" w:space="0" w:color="auto"/>
              <w:right w:val="single" w:sz="4" w:space="0" w:color="auto"/>
            </w:tcBorders>
            <w:hideMark/>
          </w:tcPr>
          <w:p w14:paraId="309EEFDF" w14:textId="77777777" w:rsidR="005F4D4C" w:rsidRDefault="005F4D4C">
            <w:pPr>
              <w:pStyle w:val="BodyText"/>
            </w:pPr>
            <w:r>
              <w:t>Joint Index</w:t>
            </w:r>
          </w:p>
        </w:tc>
        <w:tc>
          <w:tcPr>
            <w:tcW w:w="0" w:type="auto"/>
            <w:tcBorders>
              <w:top w:val="single" w:sz="4" w:space="0" w:color="auto"/>
              <w:left w:val="single" w:sz="4" w:space="0" w:color="auto"/>
              <w:bottom w:val="single" w:sz="4" w:space="0" w:color="auto"/>
              <w:right w:val="single" w:sz="4" w:space="0" w:color="auto"/>
            </w:tcBorders>
            <w:hideMark/>
          </w:tcPr>
          <w:p w14:paraId="5C650544" w14:textId="77777777" w:rsidR="005F4D4C" w:rsidRDefault="005F4D4C">
            <w:pPr>
              <w:pStyle w:val="BodyText"/>
            </w:pPr>
            <w:r>
              <w:t>RI</w:t>
            </w:r>
          </w:p>
        </w:tc>
        <w:tc>
          <w:tcPr>
            <w:tcW w:w="0" w:type="auto"/>
            <w:tcBorders>
              <w:top w:val="single" w:sz="4" w:space="0" w:color="auto"/>
              <w:left w:val="single" w:sz="4" w:space="0" w:color="auto"/>
              <w:bottom w:val="single" w:sz="4" w:space="0" w:color="auto"/>
              <w:right w:val="single" w:sz="4" w:space="0" w:color="auto"/>
            </w:tcBorders>
            <w:hideMark/>
          </w:tcPr>
          <w:p w14:paraId="2A87F7F1" w14:textId="77777777" w:rsidR="005F4D4C" w:rsidRDefault="005A55D7">
            <w:pPr>
              <w:pStyle w:val="BodyText"/>
            </w:pPr>
            <m:oMathPara>
              <m:oMath>
                <m:sSub>
                  <m:sSubPr>
                    <m:ctrlPr>
                      <w:rPr>
                        <w:rFonts w:ascii="Cambria Math" w:hAnsi="Cambria Math"/>
                        <w:spacing w:val="2"/>
                        <w:lang w:val="en-US" w:eastAsia="en-US"/>
                      </w:rPr>
                    </m:ctrlPr>
                  </m:sSubPr>
                  <m:e>
                    <m:r>
                      <m:rPr>
                        <m:sty m:val="p"/>
                      </m:rPr>
                      <w:rPr>
                        <w:rFonts w:ascii="Cambria Math" w:hAnsi="Cambria Math"/>
                      </w:rPr>
                      <m:t>NNZCI</m:t>
                    </m:r>
                  </m:e>
                  <m:sub>
                    <m:r>
                      <m:rPr>
                        <m:sty m:val="bi"/>
                      </m:rPr>
                      <w:rPr>
                        <w:rFonts w:ascii="Cambria Math" w:hAnsi="Cambria Math"/>
                      </w:rPr>
                      <m:t>0</m:t>
                    </m:r>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3D3FA427" w14:textId="77777777" w:rsidR="005F4D4C" w:rsidRDefault="005A55D7">
            <w:pPr>
              <w:pStyle w:val="BodyText"/>
            </w:pPr>
            <m:oMathPara>
              <m:oMath>
                <m:sSub>
                  <m:sSubPr>
                    <m:ctrlPr>
                      <w:rPr>
                        <w:rFonts w:ascii="Cambria Math" w:hAnsi="Cambria Math"/>
                        <w:spacing w:val="2"/>
                        <w:lang w:val="en-US" w:eastAsia="en-US"/>
                      </w:rPr>
                    </m:ctrlPr>
                  </m:sSubPr>
                  <m:e>
                    <m:r>
                      <m:rPr>
                        <m:sty m:val="p"/>
                      </m:rPr>
                      <w:rPr>
                        <w:rFonts w:ascii="Cambria Math" w:hAnsi="Cambria Math"/>
                      </w:rPr>
                      <m:t>NNZCI</m:t>
                    </m:r>
                  </m:e>
                  <m:sub>
                    <m:r>
                      <m:rPr>
                        <m:sty m:val="bi"/>
                      </m:rPr>
                      <w:rPr>
                        <w:rFonts w:ascii="Cambria Math" w:hAnsi="Cambria Math"/>
                      </w:rPr>
                      <m:t>1</m:t>
                    </m:r>
                  </m:sub>
                </m:sSub>
              </m:oMath>
            </m:oMathPara>
          </w:p>
        </w:tc>
      </w:tr>
      <w:tr w:rsidR="005F4D4C" w14:paraId="6C8A16A9" w14:textId="77777777" w:rsidTr="005F4D4C">
        <w:trPr>
          <w:jc w:val="center"/>
        </w:trPr>
        <w:tc>
          <w:tcPr>
            <w:tcW w:w="0" w:type="auto"/>
            <w:tcBorders>
              <w:top w:val="single" w:sz="4" w:space="0" w:color="auto"/>
              <w:left w:val="single" w:sz="4" w:space="0" w:color="auto"/>
              <w:bottom w:val="single" w:sz="4" w:space="0" w:color="auto"/>
              <w:right w:val="single" w:sz="4" w:space="0" w:color="auto"/>
            </w:tcBorders>
            <w:hideMark/>
          </w:tcPr>
          <w:p w14:paraId="27E4DA2A" w14:textId="77777777" w:rsidR="005F4D4C" w:rsidRDefault="005F4D4C">
            <w:pPr>
              <w:pStyle w:val="BodyText"/>
            </w:pPr>
            <w:r>
              <w:t>0</w:t>
            </w:r>
          </w:p>
        </w:tc>
        <w:tc>
          <w:tcPr>
            <w:tcW w:w="0" w:type="auto"/>
            <w:tcBorders>
              <w:top w:val="single" w:sz="4" w:space="0" w:color="auto"/>
              <w:left w:val="single" w:sz="4" w:space="0" w:color="auto"/>
              <w:bottom w:val="single" w:sz="4" w:space="0" w:color="auto"/>
              <w:right w:val="single" w:sz="4" w:space="0" w:color="auto"/>
            </w:tcBorders>
            <w:hideMark/>
          </w:tcPr>
          <w:p w14:paraId="11925108" w14:textId="77777777" w:rsidR="005F4D4C" w:rsidRDefault="005F4D4C">
            <w:pPr>
              <w:pStyle w:val="BodyText"/>
            </w:pPr>
            <w:r>
              <w:t>1</w:t>
            </w:r>
          </w:p>
        </w:tc>
        <w:tc>
          <w:tcPr>
            <w:tcW w:w="0" w:type="auto"/>
            <w:tcBorders>
              <w:top w:val="single" w:sz="4" w:space="0" w:color="auto"/>
              <w:left w:val="single" w:sz="4" w:space="0" w:color="auto"/>
              <w:bottom w:val="single" w:sz="4" w:space="0" w:color="auto"/>
              <w:right w:val="single" w:sz="4" w:space="0" w:color="auto"/>
            </w:tcBorders>
            <w:hideMark/>
          </w:tcPr>
          <w:p w14:paraId="353B563B" w14:textId="77777777" w:rsidR="005F4D4C" w:rsidRDefault="005F4D4C">
            <w:pPr>
              <w:pStyle w:val="BodyText"/>
            </w:pPr>
            <w:r>
              <w:t>1</w:t>
            </w:r>
          </w:p>
        </w:tc>
        <w:tc>
          <w:tcPr>
            <w:tcW w:w="0" w:type="auto"/>
            <w:tcBorders>
              <w:top w:val="single" w:sz="4" w:space="0" w:color="auto"/>
              <w:left w:val="single" w:sz="4" w:space="0" w:color="auto"/>
              <w:bottom w:val="single" w:sz="4" w:space="0" w:color="auto"/>
              <w:right w:val="single" w:sz="4" w:space="0" w:color="auto"/>
            </w:tcBorders>
            <w:hideMark/>
          </w:tcPr>
          <w:p w14:paraId="4067E35C" w14:textId="77777777" w:rsidR="005F4D4C" w:rsidRDefault="005F4D4C">
            <w:pPr>
              <w:pStyle w:val="BodyText"/>
            </w:pPr>
            <w:r>
              <w:t>N/A</w:t>
            </w:r>
          </w:p>
        </w:tc>
      </w:tr>
      <w:tr w:rsidR="005F4D4C" w14:paraId="14758DEE" w14:textId="77777777" w:rsidTr="005F4D4C">
        <w:trPr>
          <w:jc w:val="center"/>
        </w:trPr>
        <w:tc>
          <w:tcPr>
            <w:tcW w:w="0" w:type="auto"/>
            <w:tcBorders>
              <w:top w:val="single" w:sz="4" w:space="0" w:color="auto"/>
              <w:left w:val="single" w:sz="4" w:space="0" w:color="auto"/>
              <w:bottom w:val="single" w:sz="4" w:space="0" w:color="auto"/>
              <w:right w:val="single" w:sz="4" w:space="0" w:color="auto"/>
            </w:tcBorders>
            <w:hideMark/>
          </w:tcPr>
          <w:p w14:paraId="08945439" w14:textId="77777777" w:rsidR="005F4D4C" w:rsidRDefault="005F4D4C">
            <w:pPr>
              <w:pStyle w:val="BodyText"/>
            </w:pPr>
            <w:r>
              <w:t>1</w:t>
            </w:r>
          </w:p>
        </w:tc>
        <w:tc>
          <w:tcPr>
            <w:tcW w:w="0" w:type="auto"/>
            <w:tcBorders>
              <w:top w:val="single" w:sz="4" w:space="0" w:color="auto"/>
              <w:left w:val="single" w:sz="4" w:space="0" w:color="auto"/>
              <w:bottom w:val="single" w:sz="4" w:space="0" w:color="auto"/>
              <w:right w:val="single" w:sz="4" w:space="0" w:color="auto"/>
            </w:tcBorders>
            <w:hideMark/>
          </w:tcPr>
          <w:p w14:paraId="3D6FC7E1" w14:textId="77777777" w:rsidR="005F4D4C" w:rsidRDefault="005F4D4C">
            <w:pPr>
              <w:pStyle w:val="BodyText"/>
            </w:pPr>
            <w:r>
              <w:t>1</w:t>
            </w:r>
          </w:p>
        </w:tc>
        <w:tc>
          <w:tcPr>
            <w:tcW w:w="0" w:type="auto"/>
            <w:tcBorders>
              <w:top w:val="single" w:sz="4" w:space="0" w:color="auto"/>
              <w:left w:val="single" w:sz="4" w:space="0" w:color="auto"/>
              <w:bottom w:val="single" w:sz="4" w:space="0" w:color="auto"/>
              <w:right w:val="single" w:sz="4" w:space="0" w:color="auto"/>
            </w:tcBorders>
            <w:hideMark/>
          </w:tcPr>
          <w:p w14:paraId="0453CCEC" w14:textId="77777777" w:rsidR="005F4D4C" w:rsidRDefault="005F4D4C">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1DE92678" w14:textId="77777777" w:rsidR="005F4D4C" w:rsidRDefault="005F4D4C">
            <w:pPr>
              <w:pStyle w:val="BodyText"/>
            </w:pPr>
            <w:r>
              <w:t>N/A</w:t>
            </w:r>
          </w:p>
        </w:tc>
      </w:tr>
      <w:tr w:rsidR="005F4D4C" w14:paraId="28A39867" w14:textId="77777777" w:rsidTr="005F4D4C">
        <w:trPr>
          <w:jc w:val="center"/>
        </w:trPr>
        <w:tc>
          <w:tcPr>
            <w:tcW w:w="0" w:type="auto"/>
            <w:tcBorders>
              <w:top w:val="single" w:sz="4" w:space="0" w:color="auto"/>
              <w:left w:val="single" w:sz="4" w:space="0" w:color="auto"/>
              <w:bottom w:val="single" w:sz="4" w:space="0" w:color="auto"/>
              <w:right w:val="single" w:sz="4" w:space="0" w:color="auto"/>
            </w:tcBorders>
            <w:hideMark/>
          </w:tcPr>
          <w:p w14:paraId="7CD2B01C" w14:textId="77777777" w:rsidR="005F4D4C" w:rsidRDefault="005F4D4C">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39BB1B68" w14:textId="77777777" w:rsidR="005F4D4C" w:rsidRDefault="005F4D4C">
            <w:pPr>
              <w:pStyle w:val="BodyText"/>
            </w:pPr>
            <w:r>
              <w:t>1</w:t>
            </w:r>
          </w:p>
        </w:tc>
        <w:tc>
          <w:tcPr>
            <w:tcW w:w="0" w:type="auto"/>
            <w:tcBorders>
              <w:top w:val="single" w:sz="4" w:space="0" w:color="auto"/>
              <w:left w:val="single" w:sz="4" w:space="0" w:color="auto"/>
              <w:bottom w:val="single" w:sz="4" w:space="0" w:color="auto"/>
              <w:right w:val="single" w:sz="4" w:space="0" w:color="auto"/>
            </w:tcBorders>
            <w:hideMark/>
          </w:tcPr>
          <w:p w14:paraId="5A173AB9" w14:textId="77777777" w:rsidR="005F4D4C" w:rsidRDefault="005F4D4C">
            <w:pPr>
              <w:pStyle w:val="BodyText"/>
            </w:pPr>
            <w:r>
              <w:t>3</w:t>
            </w:r>
          </w:p>
        </w:tc>
        <w:tc>
          <w:tcPr>
            <w:tcW w:w="0" w:type="auto"/>
            <w:tcBorders>
              <w:top w:val="single" w:sz="4" w:space="0" w:color="auto"/>
              <w:left w:val="single" w:sz="4" w:space="0" w:color="auto"/>
              <w:bottom w:val="single" w:sz="4" w:space="0" w:color="auto"/>
              <w:right w:val="single" w:sz="4" w:space="0" w:color="auto"/>
            </w:tcBorders>
            <w:hideMark/>
          </w:tcPr>
          <w:p w14:paraId="4834B229" w14:textId="77777777" w:rsidR="005F4D4C" w:rsidRDefault="005F4D4C">
            <w:pPr>
              <w:pStyle w:val="BodyText"/>
            </w:pPr>
            <w:r>
              <w:t>N/A</w:t>
            </w:r>
          </w:p>
        </w:tc>
      </w:tr>
      <w:tr w:rsidR="005F4D4C" w14:paraId="717C4172" w14:textId="77777777" w:rsidTr="005F4D4C">
        <w:trPr>
          <w:jc w:val="center"/>
        </w:trPr>
        <w:tc>
          <w:tcPr>
            <w:tcW w:w="0" w:type="auto"/>
            <w:tcBorders>
              <w:top w:val="single" w:sz="4" w:space="0" w:color="auto"/>
              <w:left w:val="single" w:sz="4" w:space="0" w:color="auto"/>
              <w:bottom w:val="single" w:sz="4" w:space="0" w:color="auto"/>
              <w:right w:val="single" w:sz="4" w:space="0" w:color="auto"/>
            </w:tcBorders>
            <w:hideMark/>
          </w:tcPr>
          <w:p w14:paraId="271A622A" w14:textId="77777777" w:rsidR="005F4D4C" w:rsidRDefault="005F4D4C">
            <w:pPr>
              <w:pStyle w:val="BodyText"/>
            </w:pPr>
            <w:r>
              <w:t>3</w:t>
            </w:r>
          </w:p>
        </w:tc>
        <w:tc>
          <w:tcPr>
            <w:tcW w:w="0" w:type="auto"/>
            <w:tcBorders>
              <w:top w:val="single" w:sz="4" w:space="0" w:color="auto"/>
              <w:left w:val="single" w:sz="4" w:space="0" w:color="auto"/>
              <w:bottom w:val="single" w:sz="4" w:space="0" w:color="auto"/>
              <w:right w:val="single" w:sz="4" w:space="0" w:color="auto"/>
            </w:tcBorders>
            <w:hideMark/>
          </w:tcPr>
          <w:p w14:paraId="3A34A852" w14:textId="77777777" w:rsidR="005F4D4C" w:rsidRDefault="005F4D4C">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112A1B12" w14:textId="77777777" w:rsidR="005F4D4C" w:rsidRDefault="005F4D4C">
            <w:pPr>
              <w:pStyle w:val="BodyText"/>
            </w:pPr>
            <w:r>
              <w:t>1</w:t>
            </w:r>
          </w:p>
        </w:tc>
        <w:tc>
          <w:tcPr>
            <w:tcW w:w="0" w:type="auto"/>
            <w:tcBorders>
              <w:top w:val="single" w:sz="4" w:space="0" w:color="auto"/>
              <w:left w:val="single" w:sz="4" w:space="0" w:color="auto"/>
              <w:bottom w:val="single" w:sz="4" w:space="0" w:color="auto"/>
              <w:right w:val="single" w:sz="4" w:space="0" w:color="auto"/>
            </w:tcBorders>
            <w:hideMark/>
          </w:tcPr>
          <w:p w14:paraId="175D4DBE" w14:textId="77777777" w:rsidR="005F4D4C" w:rsidRDefault="005F4D4C">
            <w:pPr>
              <w:pStyle w:val="BodyText"/>
            </w:pPr>
            <w:r>
              <w:t>1</w:t>
            </w:r>
          </w:p>
        </w:tc>
      </w:tr>
      <w:tr w:rsidR="005F4D4C" w14:paraId="162078D0" w14:textId="77777777" w:rsidTr="005F4D4C">
        <w:trPr>
          <w:jc w:val="center"/>
        </w:trPr>
        <w:tc>
          <w:tcPr>
            <w:tcW w:w="0" w:type="auto"/>
            <w:tcBorders>
              <w:top w:val="single" w:sz="4" w:space="0" w:color="auto"/>
              <w:left w:val="single" w:sz="4" w:space="0" w:color="auto"/>
              <w:bottom w:val="single" w:sz="4" w:space="0" w:color="auto"/>
              <w:right w:val="single" w:sz="4" w:space="0" w:color="auto"/>
            </w:tcBorders>
            <w:hideMark/>
          </w:tcPr>
          <w:p w14:paraId="46E7A0EF" w14:textId="77777777" w:rsidR="005F4D4C" w:rsidRDefault="005F4D4C">
            <w:pPr>
              <w:pStyle w:val="BodyText"/>
            </w:pPr>
            <w:r>
              <w:t>4</w:t>
            </w:r>
          </w:p>
        </w:tc>
        <w:tc>
          <w:tcPr>
            <w:tcW w:w="0" w:type="auto"/>
            <w:tcBorders>
              <w:top w:val="single" w:sz="4" w:space="0" w:color="auto"/>
              <w:left w:val="single" w:sz="4" w:space="0" w:color="auto"/>
              <w:bottom w:val="single" w:sz="4" w:space="0" w:color="auto"/>
              <w:right w:val="single" w:sz="4" w:space="0" w:color="auto"/>
            </w:tcBorders>
            <w:hideMark/>
          </w:tcPr>
          <w:p w14:paraId="3F15C7AB" w14:textId="77777777" w:rsidR="005F4D4C" w:rsidRDefault="005F4D4C">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4199B29A" w14:textId="77777777" w:rsidR="005F4D4C" w:rsidRDefault="005F4D4C">
            <w:pPr>
              <w:pStyle w:val="BodyText"/>
            </w:pPr>
            <w:r>
              <w:t>1</w:t>
            </w:r>
          </w:p>
        </w:tc>
        <w:tc>
          <w:tcPr>
            <w:tcW w:w="0" w:type="auto"/>
            <w:tcBorders>
              <w:top w:val="single" w:sz="4" w:space="0" w:color="auto"/>
              <w:left w:val="single" w:sz="4" w:space="0" w:color="auto"/>
              <w:bottom w:val="single" w:sz="4" w:space="0" w:color="auto"/>
              <w:right w:val="single" w:sz="4" w:space="0" w:color="auto"/>
            </w:tcBorders>
            <w:hideMark/>
          </w:tcPr>
          <w:p w14:paraId="4065A2B9" w14:textId="77777777" w:rsidR="005F4D4C" w:rsidRDefault="005F4D4C">
            <w:pPr>
              <w:pStyle w:val="BodyText"/>
            </w:pPr>
            <w:r>
              <w:t>2</w:t>
            </w:r>
          </w:p>
        </w:tc>
      </w:tr>
      <w:tr w:rsidR="005F4D4C" w14:paraId="16E19536" w14:textId="77777777" w:rsidTr="005F4D4C">
        <w:trPr>
          <w:jc w:val="center"/>
        </w:trPr>
        <w:tc>
          <w:tcPr>
            <w:tcW w:w="0" w:type="auto"/>
            <w:tcBorders>
              <w:top w:val="single" w:sz="4" w:space="0" w:color="auto"/>
              <w:left w:val="single" w:sz="4" w:space="0" w:color="auto"/>
              <w:bottom w:val="single" w:sz="4" w:space="0" w:color="auto"/>
              <w:right w:val="single" w:sz="4" w:space="0" w:color="auto"/>
            </w:tcBorders>
            <w:hideMark/>
          </w:tcPr>
          <w:p w14:paraId="76C782B9" w14:textId="77777777" w:rsidR="005F4D4C" w:rsidRDefault="005F4D4C">
            <w:pPr>
              <w:pStyle w:val="BodyText"/>
            </w:pPr>
            <w:r>
              <w:t>5</w:t>
            </w:r>
          </w:p>
        </w:tc>
        <w:tc>
          <w:tcPr>
            <w:tcW w:w="0" w:type="auto"/>
            <w:tcBorders>
              <w:top w:val="single" w:sz="4" w:space="0" w:color="auto"/>
              <w:left w:val="single" w:sz="4" w:space="0" w:color="auto"/>
              <w:bottom w:val="single" w:sz="4" w:space="0" w:color="auto"/>
              <w:right w:val="single" w:sz="4" w:space="0" w:color="auto"/>
            </w:tcBorders>
            <w:hideMark/>
          </w:tcPr>
          <w:p w14:paraId="5EEEF821" w14:textId="77777777" w:rsidR="005F4D4C" w:rsidRDefault="005F4D4C">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10B1ECD2" w14:textId="77777777" w:rsidR="005F4D4C" w:rsidRDefault="005F4D4C">
            <w:pPr>
              <w:pStyle w:val="BodyText"/>
            </w:pPr>
            <w:r>
              <w:t>1</w:t>
            </w:r>
          </w:p>
        </w:tc>
        <w:tc>
          <w:tcPr>
            <w:tcW w:w="0" w:type="auto"/>
            <w:tcBorders>
              <w:top w:val="single" w:sz="4" w:space="0" w:color="auto"/>
              <w:left w:val="single" w:sz="4" w:space="0" w:color="auto"/>
              <w:bottom w:val="single" w:sz="4" w:space="0" w:color="auto"/>
              <w:right w:val="single" w:sz="4" w:space="0" w:color="auto"/>
            </w:tcBorders>
            <w:hideMark/>
          </w:tcPr>
          <w:p w14:paraId="14D6FE2C" w14:textId="77777777" w:rsidR="005F4D4C" w:rsidRDefault="005F4D4C">
            <w:pPr>
              <w:pStyle w:val="BodyText"/>
            </w:pPr>
            <w:r>
              <w:t>3</w:t>
            </w:r>
          </w:p>
        </w:tc>
      </w:tr>
      <w:tr w:rsidR="005F4D4C" w14:paraId="2B2F5892" w14:textId="77777777" w:rsidTr="005F4D4C">
        <w:trPr>
          <w:jc w:val="center"/>
        </w:trPr>
        <w:tc>
          <w:tcPr>
            <w:tcW w:w="0" w:type="auto"/>
            <w:tcBorders>
              <w:top w:val="single" w:sz="4" w:space="0" w:color="auto"/>
              <w:left w:val="single" w:sz="4" w:space="0" w:color="auto"/>
              <w:bottom w:val="single" w:sz="4" w:space="0" w:color="auto"/>
              <w:right w:val="single" w:sz="4" w:space="0" w:color="auto"/>
            </w:tcBorders>
            <w:hideMark/>
          </w:tcPr>
          <w:p w14:paraId="6725E712" w14:textId="77777777" w:rsidR="005F4D4C" w:rsidRDefault="005F4D4C">
            <w:pPr>
              <w:pStyle w:val="BodyText"/>
            </w:pPr>
            <w:r>
              <w:t>6</w:t>
            </w:r>
          </w:p>
        </w:tc>
        <w:tc>
          <w:tcPr>
            <w:tcW w:w="0" w:type="auto"/>
            <w:tcBorders>
              <w:top w:val="single" w:sz="4" w:space="0" w:color="auto"/>
              <w:left w:val="single" w:sz="4" w:space="0" w:color="auto"/>
              <w:bottom w:val="single" w:sz="4" w:space="0" w:color="auto"/>
              <w:right w:val="single" w:sz="4" w:space="0" w:color="auto"/>
            </w:tcBorders>
            <w:hideMark/>
          </w:tcPr>
          <w:p w14:paraId="341E8F0E" w14:textId="77777777" w:rsidR="005F4D4C" w:rsidRDefault="005F4D4C">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1362ED0C" w14:textId="77777777" w:rsidR="005F4D4C" w:rsidRDefault="005F4D4C">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552C9A7C" w14:textId="77777777" w:rsidR="005F4D4C" w:rsidRDefault="005F4D4C">
            <w:pPr>
              <w:pStyle w:val="BodyText"/>
            </w:pPr>
            <w:r>
              <w:t>1</w:t>
            </w:r>
          </w:p>
        </w:tc>
      </w:tr>
      <w:tr w:rsidR="005F4D4C" w14:paraId="3C52588B" w14:textId="77777777" w:rsidTr="005F4D4C">
        <w:trPr>
          <w:jc w:val="center"/>
        </w:trPr>
        <w:tc>
          <w:tcPr>
            <w:tcW w:w="0" w:type="auto"/>
            <w:tcBorders>
              <w:top w:val="single" w:sz="4" w:space="0" w:color="auto"/>
              <w:left w:val="single" w:sz="4" w:space="0" w:color="auto"/>
              <w:bottom w:val="single" w:sz="4" w:space="0" w:color="auto"/>
              <w:right w:val="single" w:sz="4" w:space="0" w:color="auto"/>
            </w:tcBorders>
            <w:hideMark/>
          </w:tcPr>
          <w:p w14:paraId="5265A47E" w14:textId="77777777" w:rsidR="005F4D4C" w:rsidRDefault="005F4D4C">
            <w:pPr>
              <w:pStyle w:val="BodyText"/>
            </w:pPr>
            <w:r>
              <w:t>7</w:t>
            </w:r>
          </w:p>
        </w:tc>
        <w:tc>
          <w:tcPr>
            <w:tcW w:w="0" w:type="auto"/>
            <w:tcBorders>
              <w:top w:val="single" w:sz="4" w:space="0" w:color="auto"/>
              <w:left w:val="single" w:sz="4" w:space="0" w:color="auto"/>
              <w:bottom w:val="single" w:sz="4" w:space="0" w:color="auto"/>
              <w:right w:val="single" w:sz="4" w:space="0" w:color="auto"/>
            </w:tcBorders>
            <w:hideMark/>
          </w:tcPr>
          <w:p w14:paraId="20644C3E" w14:textId="77777777" w:rsidR="005F4D4C" w:rsidRDefault="005F4D4C">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42CDB187" w14:textId="77777777" w:rsidR="005F4D4C" w:rsidRDefault="005F4D4C">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68205B10" w14:textId="77777777" w:rsidR="005F4D4C" w:rsidRDefault="005F4D4C">
            <w:pPr>
              <w:pStyle w:val="BodyText"/>
            </w:pPr>
            <w:r>
              <w:t>2</w:t>
            </w:r>
          </w:p>
        </w:tc>
      </w:tr>
      <w:tr w:rsidR="005F4D4C" w14:paraId="588DE942" w14:textId="77777777" w:rsidTr="005F4D4C">
        <w:trPr>
          <w:jc w:val="center"/>
        </w:trPr>
        <w:tc>
          <w:tcPr>
            <w:tcW w:w="0" w:type="auto"/>
            <w:tcBorders>
              <w:top w:val="single" w:sz="4" w:space="0" w:color="auto"/>
              <w:left w:val="single" w:sz="4" w:space="0" w:color="auto"/>
              <w:bottom w:val="single" w:sz="4" w:space="0" w:color="auto"/>
              <w:right w:val="single" w:sz="4" w:space="0" w:color="auto"/>
            </w:tcBorders>
            <w:hideMark/>
          </w:tcPr>
          <w:p w14:paraId="3E1B9D45" w14:textId="77777777" w:rsidR="005F4D4C" w:rsidRDefault="005F4D4C">
            <w:pPr>
              <w:pStyle w:val="BodyText"/>
            </w:pPr>
            <w:r>
              <w:t>8</w:t>
            </w:r>
          </w:p>
        </w:tc>
        <w:tc>
          <w:tcPr>
            <w:tcW w:w="0" w:type="auto"/>
            <w:tcBorders>
              <w:top w:val="single" w:sz="4" w:space="0" w:color="auto"/>
              <w:left w:val="single" w:sz="4" w:space="0" w:color="auto"/>
              <w:bottom w:val="single" w:sz="4" w:space="0" w:color="auto"/>
              <w:right w:val="single" w:sz="4" w:space="0" w:color="auto"/>
            </w:tcBorders>
            <w:hideMark/>
          </w:tcPr>
          <w:p w14:paraId="446D3290" w14:textId="77777777" w:rsidR="005F4D4C" w:rsidRDefault="005F4D4C">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2C3997A1" w14:textId="77777777" w:rsidR="005F4D4C" w:rsidRDefault="005F4D4C">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387AC2BF" w14:textId="77777777" w:rsidR="005F4D4C" w:rsidRDefault="005F4D4C">
            <w:pPr>
              <w:pStyle w:val="BodyText"/>
            </w:pPr>
            <w:r>
              <w:t>3</w:t>
            </w:r>
          </w:p>
        </w:tc>
      </w:tr>
      <w:tr w:rsidR="005F4D4C" w14:paraId="05B2D718" w14:textId="77777777" w:rsidTr="005F4D4C">
        <w:trPr>
          <w:jc w:val="center"/>
        </w:trPr>
        <w:tc>
          <w:tcPr>
            <w:tcW w:w="0" w:type="auto"/>
            <w:tcBorders>
              <w:top w:val="single" w:sz="4" w:space="0" w:color="auto"/>
              <w:left w:val="single" w:sz="4" w:space="0" w:color="auto"/>
              <w:bottom w:val="single" w:sz="4" w:space="0" w:color="auto"/>
              <w:right w:val="single" w:sz="4" w:space="0" w:color="auto"/>
            </w:tcBorders>
            <w:hideMark/>
          </w:tcPr>
          <w:p w14:paraId="573A7AF1" w14:textId="77777777" w:rsidR="005F4D4C" w:rsidRDefault="005F4D4C">
            <w:pPr>
              <w:pStyle w:val="BodyText"/>
            </w:pPr>
            <w:r>
              <w:lastRenderedPageBreak/>
              <w:t>9</w:t>
            </w:r>
          </w:p>
        </w:tc>
        <w:tc>
          <w:tcPr>
            <w:tcW w:w="0" w:type="auto"/>
            <w:tcBorders>
              <w:top w:val="single" w:sz="4" w:space="0" w:color="auto"/>
              <w:left w:val="single" w:sz="4" w:space="0" w:color="auto"/>
              <w:bottom w:val="single" w:sz="4" w:space="0" w:color="auto"/>
              <w:right w:val="single" w:sz="4" w:space="0" w:color="auto"/>
            </w:tcBorders>
            <w:hideMark/>
          </w:tcPr>
          <w:p w14:paraId="798B53F4" w14:textId="77777777" w:rsidR="005F4D4C" w:rsidRDefault="005F4D4C">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7120A0C3" w14:textId="77777777" w:rsidR="005F4D4C" w:rsidRDefault="005F4D4C">
            <w:pPr>
              <w:pStyle w:val="BodyText"/>
            </w:pPr>
            <w:r>
              <w:t>3</w:t>
            </w:r>
          </w:p>
        </w:tc>
        <w:tc>
          <w:tcPr>
            <w:tcW w:w="0" w:type="auto"/>
            <w:tcBorders>
              <w:top w:val="single" w:sz="4" w:space="0" w:color="auto"/>
              <w:left w:val="single" w:sz="4" w:space="0" w:color="auto"/>
              <w:bottom w:val="single" w:sz="4" w:space="0" w:color="auto"/>
              <w:right w:val="single" w:sz="4" w:space="0" w:color="auto"/>
            </w:tcBorders>
            <w:hideMark/>
          </w:tcPr>
          <w:p w14:paraId="0BC4530D" w14:textId="77777777" w:rsidR="005F4D4C" w:rsidRDefault="005F4D4C">
            <w:pPr>
              <w:pStyle w:val="BodyText"/>
            </w:pPr>
            <w:r>
              <w:t>1</w:t>
            </w:r>
          </w:p>
        </w:tc>
      </w:tr>
      <w:tr w:rsidR="005F4D4C" w14:paraId="32F9E0DF" w14:textId="77777777" w:rsidTr="005F4D4C">
        <w:trPr>
          <w:jc w:val="center"/>
        </w:trPr>
        <w:tc>
          <w:tcPr>
            <w:tcW w:w="0" w:type="auto"/>
            <w:tcBorders>
              <w:top w:val="single" w:sz="4" w:space="0" w:color="auto"/>
              <w:left w:val="single" w:sz="4" w:space="0" w:color="auto"/>
              <w:bottom w:val="single" w:sz="4" w:space="0" w:color="auto"/>
              <w:right w:val="single" w:sz="4" w:space="0" w:color="auto"/>
            </w:tcBorders>
            <w:hideMark/>
          </w:tcPr>
          <w:p w14:paraId="38F25E21" w14:textId="77777777" w:rsidR="005F4D4C" w:rsidRDefault="005F4D4C">
            <w:pPr>
              <w:pStyle w:val="BodyText"/>
            </w:pPr>
            <w:r>
              <w:t>10</w:t>
            </w:r>
          </w:p>
        </w:tc>
        <w:tc>
          <w:tcPr>
            <w:tcW w:w="0" w:type="auto"/>
            <w:tcBorders>
              <w:top w:val="single" w:sz="4" w:space="0" w:color="auto"/>
              <w:left w:val="single" w:sz="4" w:space="0" w:color="auto"/>
              <w:bottom w:val="single" w:sz="4" w:space="0" w:color="auto"/>
              <w:right w:val="single" w:sz="4" w:space="0" w:color="auto"/>
            </w:tcBorders>
            <w:hideMark/>
          </w:tcPr>
          <w:p w14:paraId="4511EA7C" w14:textId="77777777" w:rsidR="005F4D4C" w:rsidRDefault="005F4D4C">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5B5D705C" w14:textId="77777777" w:rsidR="005F4D4C" w:rsidRDefault="005F4D4C">
            <w:pPr>
              <w:pStyle w:val="BodyText"/>
            </w:pPr>
            <w:r>
              <w:t>3</w:t>
            </w:r>
          </w:p>
        </w:tc>
        <w:tc>
          <w:tcPr>
            <w:tcW w:w="0" w:type="auto"/>
            <w:tcBorders>
              <w:top w:val="single" w:sz="4" w:space="0" w:color="auto"/>
              <w:left w:val="single" w:sz="4" w:space="0" w:color="auto"/>
              <w:bottom w:val="single" w:sz="4" w:space="0" w:color="auto"/>
              <w:right w:val="single" w:sz="4" w:space="0" w:color="auto"/>
            </w:tcBorders>
            <w:hideMark/>
          </w:tcPr>
          <w:p w14:paraId="2AAC670B" w14:textId="77777777" w:rsidR="005F4D4C" w:rsidRDefault="005F4D4C">
            <w:pPr>
              <w:pStyle w:val="BodyText"/>
            </w:pPr>
            <w:r>
              <w:t>2</w:t>
            </w:r>
          </w:p>
        </w:tc>
      </w:tr>
      <w:tr w:rsidR="005F4D4C" w14:paraId="6D85A282" w14:textId="77777777" w:rsidTr="005F4D4C">
        <w:trPr>
          <w:jc w:val="center"/>
        </w:trPr>
        <w:tc>
          <w:tcPr>
            <w:tcW w:w="0" w:type="auto"/>
            <w:tcBorders>
              <w:top w:val="single" w:sz="4" w:space="0" w:color="auto"/>
              <w:left w:val="single" w:sz="4" w:space="0" w:color="auto"/>
              <w:bottom w:val="single" w:sz="4" w:space="0" w:color="auto"/>
              <w:right w:val="single" w:sz="4" w:space="0" w:color="auto"/>
            </w:tcBorders>
            <w:hideMark/>
          </w:tcPr>
          <w:p w14:paraId="3734969D" w14:textId="77777777" w:rsidR="005F4D4C" w:rsidRDefault="005F4D4C">
            <w:pPr>
              <w:pStyle w:val="BodyText"/>
            </w:pPr>
            <w:r>
              <w:t>11</w:t>
            </w:r>
          </w:p>
        </w:tc>
        <w:tc>
          <w:tcPr>
            <w:tcW w:w="0" w:type="auto"/>
            <w:tcBorders>
              <w:top w:val="single" w:sz="4" w:space="0" w:color="auto"/>
              <w:left w:val="single" w:sz="4" w:space="0" w:color="auto"/>
              <w:bottom w:val="single" w:sz="4" w:space="0" w:color="auto"/>
              <w:right w:val="single" w:sz="4" w:space="0" w:color="auto"/>
            </w:tcBorders>
            <w:hideMark/>
          </w:tcPr>
          <w:p w14:paraId="7782E970" w14:textId="77777777" w:rsidR="005F4D4C" w:rsidRDefault="005F4D4C">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744256CF" w14:textId="77777777" w:rsidR="005F4D4C" w:rsidRDefault="005F4D4C">
            <w:pPr>
              <w:pStyle w:val="BodyText"/>
            </w:pPr>
            <w:r>
              <w:t>3</w:t>
            </w:r>
          </w:p>
        </w:tc>
        <w:tc>
          <w:tcPr>
            <w:tcW w:w="0" w:type="auto"/>
            <w:tcBorders>
              <w:top w:val="single" w:sz="4" w:space="0" w:color="auto"/>
              <w:left w:val="single" w:sz="4" w:space="0" w:color="auto"/>
              <w:bottom w:val="single" w:sz="4" w:space="0" w:color="auto"/>
              <w:right w:val="single" w:sz="4" w:space="0" w:color="auto"/>
            </w:tcBorders>
            <w:hideMark/>
          </w:tcPr>
          <w:p w14:paraId="30093D69" w14:textId="77777777" w:rsidR="005F4D4C" w:rsidRDefault="005F4D4C">
            <w:pPr>
              <w:pStyle w:val="BodyText"/>
            </w:pPr>
            <w:r>
              <w:t>3</w:t>
            </w:r>
          </w:p>
        </w:tc>
      </w:tr>
      <w:tr w:rsidR="005F4D4C" w14:paraId="4B718936" w14:textId="77777777" w:rsidTr="005F4D4C">
        <w:trPr>
          <w:jc w:val="center"/>
        </w:trPr>
        <w:tc>
          <w:tcPr>
            <w:tcW w:w="0" w:type="auto"/>
            <w:tcBorders>
              <w:top w:val="single" w:sz="4" w:space="0" w:color="auto"/>
              <w:left w:val="single" w:sz="4" w:space="0" w:color="auto"/>
              <w:bottom w:val="single" w:sz="4" w:space="0" w:color="auto"/>
              <w:right w:val="single" w:sz="4" w:space="0" w:color="auto"/>
            </w:tcBorders>
            <w:hideMark/>
          </w:tcPr>
          <w:p w14:paraId="3AB84C5D" w14:textId="77777777" w:rsidR="005F4D4C" w:rsidRDefault="005F4D4C">
            <w:pPr>
              <w:pStyle w:val="BodyText"/>
            </w:pPr>
            <w:r>
              <w:t>12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14:paraId="4B565E6E" w14:textId="77777777" w:rsidR="005F4D4C" w:rsidRDefault="005F4D4C">
            <w:pPr>
              <w:pStyle w:val="BodyText"/>
              <w:jc w:val="center"/>
            </w:pPr>
            <w:r>
              <w:t>Reserved</w:t>
            </w:r>
          </w:p>
        </w:tc>
      </w:tr>
      <w:tr w:rsidR="005F4D4C" w14:paraId="6C6FE2E6" w14:textId="77777777" w:rsidTr="005F4D4C">
        <w:trPr>
          <w:jc w:val="center"/>
        </w:trPr>
        <w:tc>
          <w:tcPr>
            <w:tcW w:w="0" w:type="auto"/>
            <w:tcBorders>
              <w:top w:val="single" w:sz="4" w:space="0" w:color="auto"/>
              <w:left w:val="single" w:sz="4" w:space="0" w:color="auto"/>
              <w:bottom w:val="single" w:sz="4" w:space="0" w:color="auto"/>
              <w:right w:val="single" w:sz="4" w:space="0" w:color="auto"/>
            </w:tcBorders>
            <w:hideMark/>
          </w:tcPr>
          <w:p w14:paraId="5DA9C1FE" w14:textId="77777777" w:rsidR="005F4D4C" w:rsidRDefault="005F4D4C">
            <w:pPr>
              <w:pStyle w:val="BodyText"/>
            </w:pPr>
            <w:r>
              <w:t>13</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4842442" w14:textId="77777777" w:rsidR="005F4D4C" w:rsidRDefault="005F4D4C">
            <w:pPr>
              <w:rPr>
                <w:rFonts w:ascii="Arial" w:hAnsi="Arial"/>
                <w:spacing w:val="2"/>
                <w:lang w:val="en-US" w:eastAsia="en-US"/>
              </w:rPr>
            </w:pPr>
          </w:p>
        </w:tc>
      </w:tr>
      <w:tr w:rsidR="005F4D4C" w14:paraId="7B87CAA7" w14:textId="77777777" w:rsidTr="005F4D4C">
        <w:trPr>
          <w:jc w:val="center"/>
        </w:trPr>
        <w:tc>
          <w:tcPr>
            <w:tcW w:w="0" w:type="auto"/>
            <w:tcBorders>
              <w:top w:val="single" w:sz="4" w:space="0" w:color="auto"/>
              <w:left w:val="single" w:sz="4" w:space="0" w:color="auto"/>
              <w:bottom w:val="single" w:sz="4" w:space="0" w:color="auto"/>
              <w:right w:val="single" w:sz="4" w:space="0" w:color="auto"/>
            </w:tcBorders>
            <w:hideMark/>
          </w:tcPr>
          <w:p w14:paraId="1B60731D" w14:textId="77777777" w:rsidR="005F4D4C" w:rsidRDefault="005F4D4C">
            <w:pPr>
              <w:pStyle w:val="BodyText"/>
            </w:pPr>
            <w:r>
              <w:t>14</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E2CE631" w14:textId="77777777" w:rsidR="005F4D4C" w:rsidRDefault="005F4D4C">
            <w:pPr>
              <w:rPr>
                <w:rFonts w:ascii="Arial" w:hAnsi="Arial"/>
                <w:spacing w:val="2"/>
                <w:lang w:val="en-US" w:eastAsia="en-US"/>
              </w:rPr>
            </w:pPr>
          </w:p>
        </w:tc>
      </w:tr>
      <w:tr w:rsidR="005F4D4C" w14:paraId="568D077B" w14:textId="77777777" w:rsidTr="005F4D4C">
        <w:trPr>
          <w:jc w:val="center"/>
        </w:trPr>
        <w:tc>
          <w:tcPr>
            <w:tcW w:w="0" w:type="auto"/>
            <w:tcBorders>
              <w:top w:val="single" w:sz="4" w:space="0" w:color="auto"/>
              <w:left w:val="single" w:sz="4" w:space="0" w:color="auto"/>
              <w:bottom w:val="single" w:sz="4" w:space="0" w:color="auto"/>
              <w:right w:val="single" w:sz="4" w:space="0" w:color="auto"/>
            </w:tcBorders>
            <w:hideMark/>
          </w:tcPr>
          <w:p w14:paraId="2376553E" w14:textId="77777777" w:rsidR="005F4D4C" w:rsidRDefault="005F4D4C">
            <w:pPr>
              <w:pStyle w:val="BodyText"/>
            </w:pPr>
            <w:r>
              <w:t>15</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DB0E6A5" w14:textId="77777777" w:rsidR="005F4D4C" w:rsidRDefault="005F4D4C">
            <w:pPr>
              <w:rPr>
                <w:rFonts w:ascii="Arial" w:hAnsi="Arial"/>
                <w:spacing w:val="2"/>
                <w:lang w:val="en-US" w:eastAsia="en-US"/>
              </w:rPr>
            </w:pPr>
          </w:p>
        </w:tc>
      </w:tr>
    </w:tbl>
    <w:p w14:paraId="7B64D4B8" w14:textId="0B142471" w:rsidR="005F4D4C" w:rsidRDefault="005F4D4C" w:rsidP="005F4D4C">
      <w:pPr>
        <w:pStyle w:val="BodyText"/>
        <w:rPr>
          <w:rFonts w:ascii="Arial" w:hAnsi="Arial"/>
          <w:lang w:val="en-US" w:eastAsia="en-US"/>
        </w:rPr>
      </w:pPr>
    </w:p>
    <w:p w14:paraId="1EC6A7D8" w14:textId="517CDF04" w:rsidR="009A1714" w:rsidRDefault="009A1714" w:rsidP="009A1714">
      <w:pPr>
        <w:pStyle w:val="Observation"/>
        <w:rPr>
          <w:lang w:val="en-US" w:eastAsia="en-US"/>
        </w:rPr>
      </w:pPr>
      <w:bookmarkStart w:id="3" w:name="_Toc4774085"/>
      <w:r>
        <w:rPr>
          <w:lang w:val="en-US" w:eastAsia="en-US"/>
        </w:rPr>
        <w:t>For per-layer NNZCI approach, the RI</w:t>
      </w:r>
      <w:r w:rsidR="00F70E75">
        <w:rPr>
          <w:lang w:val="en-US" w:eastAsia="en-US"/>
        </w:rPr>
        <w:t xml:space="preserve"> and NNZCIs can be jointly or independently encoded</w:t>
      </w:r>
      <w:bookmarkEnd w:id="3"/>
    </w:p>
    <w:p w14:paraId="66418B48" w14:textId="5E57DEEB" w:rsidR="005F4D4C" w:rsidRDefault="00F043A3" w:rsidP="005F4D4C">
      <w:pPr>
        <w:pStyle w:val="BodyText"/>
        <w:rPr>
          <w:b/>
          <w:i/>
        </w:rPr>
      </w:pPr>
      <w:r>
        <w:rPr>
          <w:b/>
          <w:i/>
        </w:rPr>
        <w:t xml:space="preserve">Approach 2: </w:t>
      </w:r>
      <w:r w:rsidR="005F4D4C">
        <w:rPr>
          <w:b/>
          <w:i/>
        </w:rPr>
        <w:t>Total number of non-zero coefficients indication</w:t>
      </w:r>
    </w:p>
    <w:p w14:paraId="056CC932" w14:textId="77777777" w:rsidR="00F043A3" w:rsidRDefault="005F4D4C" w:rsidP="005F4D4C">
      <w:pPr>
        <w:pStyle w:val="BodyText"/>
      </w:pPr>
      <w:r>
        <w:t xml:space="preserve">Since the purpose of including the number of NNZC indicator(s) in </w:t>
      </w:r>
      <w:r w:rsidR="00F043A3">
        <w:t>UCI</w:t>
      </w:r>
      <w:r>
        <w:t xml:space="preserve"> Part 1 is only to determine the payload of </w:t>
      </w:r>
      <w:r w:rsidR="00F043A3">
        <w:t>UCI</w:t>
      </w:r>
      <w:r>
        <w:t xml:space="preserve"> Part 2, the total number of non-zero coefficients across all layers </w:t>
      </w:r>
      <w:r w:rsidR="00F043A3">
        <w:t>could be</w:t>
      </w:r>
      <w:r>
        <w:t xml:space="preserve"> indicated instead of having layer-wise indication. That is, a single UCI parameter indicating the sum of the NNZC across layers is indicated in </w:t>
      </w:r>
      <w:r w:rsidR="00F043A3">
        <w:t>UCI</w:t>
      </w:r>
      <w:r>
        <w:t xml:space="preserve"> Part 1. </w:t>
      </w:r>
    </w:p>
    <w:p w14:paraId="7B892D7B" w14:textId="55B6F395" w:rsidR="005F4D4C" w:rsidRDefault="005F4D4C" w:rsidP="005F4D4C">
      <w:pPr>
        <w:pStyle w:val="BodyText"/>
      </w:pPr>
      <w:r>
        <w:t xml:space="preserve">That is </w:t>
      </w:r>
      <m:oMath>
        <m:sSubSup>
          <m:sSubSupPr>
            <m:ctrlPr>
              <w:rPr>
                <w:rFonts w:ascii="Cambria Math" w:hAnsi="Cambria Math"/>
                <w:i/>
                <w:spacing w:val="2"/>
                <w:lang w:val="en-US" w:eastAsia="en-US"/>
              </w:rPr>
            </m:ctrlPr>
          </m:sSubSupPr>
          <m:e>
            <m:r>
              <w:rPr>
                <w:rFonts w:ascii="Cambria Math" w:hAnsi="Cambria Math"/>
              </w:rPr>
              <m:t>K</m:t>
            </m:r>
          </m:e>
          <m:sub>
            <m:r>
              <w:rPr>
                <w:rFonts w:ascii="Cambria Math" w:hAnsi="Cambria Math"/>
              </w:rPr>
              <m:t>1</m:t>
            </m:r>
          </m:sub>
          <m:sup>
            <m:r>
              <w:rPr>
                <w:rFonts w:ascii="Cambria Math" w:hAnsi="Cambria Math"/>
              </w:rPr>
              <m:t>(TOT)</m:t>
            </m:r>
          </m:sup>
        </m:sSubSup>
        <m:r>
          <w:rPr>
            <w:rFonts w:ascii="Cambria Math" w:hAnsi="Cambria Math"/>
          </w:rPr>
          <m:t>=</m:t>
        </m:r>
        <m:nary>
          <m:naryPr>
            <m:chr m:val="∑"/>
            <m:limLoc m:val="undOvr"/>
            <m:ctrlPr>
              <w:rPr>
                <w:rFonts w:ascii="Cambria Math" w:hAnsi="Cambria Math"/>
                <w:i/>
                <w:spacing w:val="2"/>
                <w:lang w:val="en-US" w:eastAsia="en-US"/>
              </w:rPr>
            </m:ctrlPr>
          </m:naryPr>
          <m:sub>
            <m:r>
              <w:rPr>
                <w:rFonts w:ascii="Cambria Math" w:hAnsi="Cambria Math"/>
              </w:rPr>
              <m:t>l=0</m:t>
            </m:r>
          </m:sub>
          <m:sup>
            <m:r>
              <w:rPr>
                <w:rFonts w:ascii="Cambria Math" w:hAnsi="Cambria Math"/>
              </w:rPr>
              <m:t>R-1</m:t>
            </m:r>
          </m:sup>
          <m:e>
            <m:sSub>
              <m:sSubPr>
                <m:ctrlPr>
                  <w:rPr>
                    <w:rFonts w:ascii="Cambria Math" w:hAnsi="Cambria Math"/>
                    <w:i/>
                    <w:spacing w:val="2"/>
                    <w:lang w:val="en-US" w:eastAsia="en-US"/>
                  </w:rPr>
                </m:ctrlPr>
              </m:sSubPr>
              <m:e>
                <m:r>
                  <w:rPr>
                    <w:rFonts w:ascii="Cambria Math" w:hAnsi="Cambria Math"/>
                  </w:rPr>
                  <m:t>K</m:t>
                </m:r>
              </m:e>
              <m:sub>
                <m:r>
                  <w:rPr>
                    <w:rFonts w:ascii="Cambria Math" w:hAnsi="Cambria Math"/>
                  </w:rPr>
                  <m:t>1</m:t>
                </m:r>
              </m:sub>
            </m:sSub>
            <m:r>
              <w:rPr>
                <w:rFonts w:ascii="Cambria Math" w:hAnsi="Cambria Math"/>
              </w:rPr>
              <m:t>(l)</m:t>
            </m:r>
          </m:e>
        </m:nary>
      </m:oMath>
      <w:r>
        <w:t xml:space="preserve"> is indicated, where R is the selected rank by the UE. Since per-layer NZC bitmaps are included in </w:t>
      </w:r>
      <w:r w:rsidR="00F043A3">
        <w:t>UCI</w:t>
      </w:r>
      <w:r>
        <w:t xml:space="preserve"> Part 2, the gNB can infer the distribution of the NZCs among the layers and there is no ambiguity. The required bitwidth for </w:t>
      </w:r>
      <m:oMath>
        <m:sSubSup>
          <m:sSubSupPr>
            <m:ctrlPr>
              <w:rPr>
                <w:rFonts w:ascii="Cambria Math" w:hAnsi="Cambria Math"/>
                <w:i/>
                <w:spacing w:val="2"/>
                <w:lang w:val="en-US" w:eastAsia="en-US"/>
              </w:rPr>
            </m:ctrlPr>
          </m:sSubSupPr>
          <m:e>
            <m:r>
              <w:rPr>
                <w:rFonts w:ascii="Cambria Math" w:hAnsi="Cambria Math"/>
              </w:rPr>
              <m:t>K</m:t>
            </m:r>
          </m:e>
          <m:sub>
            <m:r>
              <w:rPr>
                <w:rFonts w:ascii="Cambria Math" w:hAnsi="Cambria Math"/>
              </w:rPr>
              <m:t>1</m:t>
            </m:r>
          </m:sub>
          <m:sup>
            <m:r>
              <w:rPr>
                <w:rFonts w:ascii="Cambria Math" w:hAnsi="Cambria Math"/>
              </w:rPr>
              <m:t>(TOT)</m:t>
            </m:r>
          </m:sup>
        </m:sSubSup>
      </m:oMath>
      <w:r>
        <w:t xml:space="preserve"> indication is thus </w:t>
      </w:r>
      <m:oMath>
        <m:func>
          <m:funcPr>
            <m:ctrlPr>
              <w:rPr>
                <w:rFonts w:ascii="Cambria Math" w:hAnsi="Cambria Math"/>
                <w:i/>
                <w:spacing w:val="2"/>
                <w:lang w:val="en-US" w:eastAsia="en-US"/>
              </w:rPr>
            </m:ctrlPr>
          </m:funcPr>
          <m:fName>
            <m:limLow>
              <m:limLowPr>
                <m:ctrlPr>
                  <w:rPr>
                    <w:rFonts w:ascii="Cambria Math" w:hAnsi="Cambria Math"/>
                    <w:i/>
                    <w:spacing w:val="2"/>
                    <w:lang w:val="en-US" w:eastAsia="en-US"/>
                  </w:rPr>
                </m:ctrlPr>
              </m:limLowPr>
              <m:e>
                <m:r>
                  <m:rPr>
                    <m:sty m:val="p"/>
                  </m:rPr>
                  <w:rPr>
                    <w:rFonts w:ascii="Cambria Math" w:hAnsi="Cambria Math"/>
                  </w:rPr>
                  <m:t>max</m:t>
                </m:r>
                <m:ctrlPr>
                  <w:rPr>
                    <w:rFonts w:ascii="Cambria Math" w:hAnsi="Cambria Math"/>
                    <w:spacing w:val="2"/>
                    <w:lang w:val="en-US" w:eastAsia="en-US"/>
                  </w:rPr>
                </m:ctrlPr>
              </m:e>
              <m:lim>
                <m:r>
                  <w:rPr>
                    <w:rFonts w:ascii="Cambria Math" w:hAnsi="Cambria Math"/>
                  </w:rPr>
                  <m:t>R</m:t>
                </m:r>
                <m:ctrlPr>
                  <w:rPr>
                    <w:rFonts w:ascii="Cambria Math" w:hAnsi="Cambria Math"/>
                    <w:spacing w:val="2"/>
                    <w:lang w:val="en-US" w:eastAsia="en-US"/>
                  </w:rPr>
                </m:ctrlPr>
              </m:lim>
            </m:limLow>
          </m:fName>
          <m:e>
            <m:d>
              <m:dPr>
                <m:begChr m:val="⌈"/>
                <m:endChr m:val="⌉"/>
                <m:ctrlPr>
                  <w:rPr>
                    <w:rFonts w:ascii="Cambria Math" w:hAnsi="Cambria Math"/>
                    <w:i/>
                    <w:spacing w:val="2"/>
                    <w:lang w:val="en-US" w:eastAsia="en-US"/>
                  </w:rPr>
                </m:ctrlPr>
              </m:dPr>
              <m:e>
                <m:func>
                  <m:funcPr>
                    <m:ctrlPr>
                      <w:rPr>
                        <w:rFonts w:ascii="Cambria Math" w:hAnsi="Cambria Math"/>
                        <w:i/>
                        <w:spacing w:val="2"/>
                        <w:lang w:val="en-US" w:eastAsia="en-US"/>
                      </w:rPr>
                    </m:ctrlPr>
                  </m:funcPr>
                  <m:fName>
                    <m:sSub>
                      <m:sSubPr>
                        <m:ctrlPr>
                          <w:rPr>
                            <w:rFonts w:ascii="Cambria Math" w:hAnsi="Cambria Math"/>
                            <w:i/>
                            <w:spacing w:val="2"/>
                            <w:lang w:val="en-US" w:eastAsia="en-US"/>
                          </w:rPr>
                        </m:ctrlPr>
                      </m:sSubPr>
                      <m:e>
                        <m:r>
                          <m:rPr>
                            <m:sty m:val="p"/>
                          </m:rPr>
                          <w:rPr>
                            <w:rFonts w:ascii="Cambria Math" w:hAnsi="Cambria Math"/>
                          </w:rPr>
                          <m:t>log</m:t>
                        </m:r>
                        <m:ctrlPr>
                          <w:rPr>
                            <w:rFonts w:ascii="Cambria Math" w:hAnsi="Cambria Math"/>
                            <w:spacing w:val="2"/>
                            <w:lang w:val="en-US" w:eastAsia="en-US"/>
                          </w:rPr>
                        </m:ctrlPr>
                      </m:e>
                      <m:sub>
                        <m:r>
                          <w:rPr>
                            <w:rFonts w:ascii="Cambria Math" w:hAnsi="Cambria Math"/>
                          </w:rPr>
                          <m:t>2</m:t>
                        </m:r>
                        <m:ctrlPr>
                          <w:rPr>
                            <w:rFonts w:ascii="Cambria Math" w:hAnsi="Cambria Math"/>
                            <w:spacing w:val="2"/>
                            <w:lang w:val="en-US" w:eastAsia="en-US"/>
                          </w:rPr>
                        </m:ctrlPr>
                      </m:sub>
                    </m:sSub>
                  </m:fName>
                  <m:e>
                    <m:nary>
                      <m:naryPr>
                        <m:chr m:val="∑"/>
                        <m:limLoc m:val="undOvr"/>
                        <m:ctrlPr>
                          <w:rPr>
                            <w:rFonts w:ascii="Cambria Math" w:hAnsi="Cambria Math"/>
                            <w:i/>
                            <w:spacing w:val="2"/>
                            <w:lang w:val="en-US" w:eastAsia="en-US"/>
                          </w:rPr>
                        </m:ctrlPr>
                      </m:naryPr>
                      <m:sub>
                        <m:r>
                          <w:rPr>
                            <w:rFonts w:ascii="Cambria Math" w:hAnsi="Cambria Math"/>
                          </w:rPr>
                          <m:t>l=0</m:t>
                        </m:r>
                      </m:sub>
                      <m:sup>
                        <m:r>
                          <w:rPr>
                            <w:rFonts w:ascii="Cambria Math" w:hAnsi="Cambria Math"/>
                          </w:rPr>
                          <m:t>R-1</m:t>
                        </m:r>
                      </m:sup>
                      <m:e>
                        <m:sSub>
                          <m:sSubPr>
                            <m:ctrlPr>
                              <w:rPr>
                                <w:rFonts w:ascii="Cambria Math" w:eastAsia="Malgun Gothic" w:hAnsi="Cambria Math"/>
                                <w:i/>
                                <w:spacing w:val="2"/>
                                <w:lang w:val="en-US" w:eastAsia="en-US"/>
                              </w:rPr>
                            </m:ctrlPr>
                          </m:sSubPr>
                          <m:e>
                            <m:r>
                              <w:rPr>
                                <w:rFonts w:ascii="Cambria Math" w:eastAsia="Malgun Gothic" w:hAnsi="Cambria Math"/>
                              </w:rPr>
                              <m:t>K</m:t>
                            </m:r>
                          </m:e>
                          <m:sub>
                            <m:r>
                              <w:rPr>
                                <w:rFonts w:ascii="Cambria Math" w:eastAsia="Malgun Gothic" w:hAnsi="Cambria Math"/>
                              </w:rPr>
                              <m:t>0</m:t>
                            </m:r>
                          </m:sub>
                        </m:sSub>
                        <m:d>
                          <m:dPr>
                            <m:ctrlPr>
                              <w:rPr>
                                <w:rFonts w:ascii="Cambria Math" w:eastAsia="Malgun Gothic" w:hAnsi="Cambria Math"/>
                                <w:i/>
                                <w:spacing w:val="2"/>
                                <w:lang w:val="en-US" w:eastAsia="en-US"/>
                              </w:rPr>
                            </m:ctrlPr>
                          </m:dPr>
                          <m:e>
                            <m:r>
                              <w:rPr>
                                <w:rFonts w:ascii="Cambria Math" w:eastAsia="Malgun Gothic" w:hAnsi="Cambria Math"/>
                              </w:rPr>
                              <m:t>R,l</m:t>
                            </m:r>
                          </m:e>
                        </m:d>
                      </m:e>
                    </m:nary>
                  </m:e>
                </m:func>
              </m:e>
            </m:d>
          </m:e>
        </m:func>
      </m:oMath>
      <w:r>
        <w:t xml:space="preserve"> , where again we take the maximum across the allowed ranks in order to have the </w:t>
      </w:r>
      <w:r w:rsidR="00F043A3">
        <w:t>UCI</w:t>
      </w:r>
      <w:r>
        <w:t xml:space="preserve"> Part 1 payload rank-independent. This may reduce overhead compared to having per-layer NNZC indication, however it requires that the RI is explicitly included as a parameter in </w:t>
      </w:r>
      <w:r w:rsidR="00F043A3">
        <w:t>UCI</w:t>
      </w:r>
      <w:r>
        <w:t xml:space="preserve"> Part 1 in order to determine the rank selection.</w:t>
      </w:r>
      <w:r w:rsidR="008860EF">
        <w:t xml:space="preserve"> </w:t>
      </w:r>
    </w:p>
    <w:p w14:paraId="22172CFC" w14:textId="324B188E" w:rsidR="00C86A4A" w:rsidRDefault="00C86A4A" w:rsidP="005F4D4C">
      <w:pPr>
        <w:pStyle w:val="BodyText"/>
      </w:pPr>
      <w:r>
        <w:t xml:space="preserve">As an example, for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=28</m:t>
        </m:r>
      </m:oMath>
      <w:r>
        <w:t xml:space="preserve"> and rank-4, Approach 1 will yield an overhead of </w:t>
      </w:r>
      <m:oMath>
        <m:nary>
          <m:naryPr>
            <m:chr m:val="∑"/>
            <m:limLoc m:val="undOvr"/>
            <m:ctrlPr>
              <w:rPr>
                <w:rFonts w:ascii="Cambria Math" w:hAnsi="Cambria Math"/>
                <w:i/>
                <w:spacing w:val="2"/>
                <w:lang w:val="en-US" w:eastAsia="en-US"/>
              </w:rPr>
            </m:ctrlPr>
          </m:naryPr>
          <m:sub>
            <m:r>
              <w:rPr>
                <w:rFonts w:ascii="Cambria Math" w:hAnsi="Cambria Math"/>
              </w:rPr>
              <m:t>l=0</m:t>
            </m:r>
          </m:sub>
          <m:sup>
            <m:r>
              <w:rPr>
                <w:rFonts w:ascii="Cambria Math" w:hAnsi="Cambria Math"/>
              </w:rPr>
              <m:t>3</m:t>
            </m:r>
          </m:sup>
          <m:e>
            <m:d>
              <m:dPr>
                <m:begChr m:val="⌈"/>
                <m:endChr m:val="⌉"/>
                <m:ctrlPr>
                  <w:rPr>
                    <w:rFonts w:ascii="Cambria Math" w:hAnsi="Cambria Math"/>
                    <w:i/>
                    <w:spacing w:val="2"/>
                    <w:lang w:val="en-US" w:eastAsia="en-US"/>
                  </w:rPr>
                </m:ctrlPr>
              </m:dPr>
              <m:e>
                <m:func>
                  <m:funcPr>
                    <m:ctrlPr>
                      <w:rPr>
                        <w:rFonts w:ascii="Cambria Math" w:hAnsi="Cambria Math"/>
                        <w:i/>
                        <w:spacing w:val="2"/>
                        <w:lang w:val="en-US" w:eastAsia="en-US"/>
                      </w:rPr>
                    </m:ctrlPr>
                  </m:funcPr>
                  <m:fName>
                    <m:sSub>
                      <m:sSubPr>
                        <m:ctrlPr>
                          <w:rPr>
                            <w:rFonts w:ascii="Cambria Math" w:hAnsi="Cambria Math"/>
                            <w:i/>
                            <w:spacing w:val="2"/>
                            <w:lang w:val="en-US" w:eastAsia="en-US"/>
                          </w:rPr>
                        </m:ctrlPr>
                      </m:sSubPr>
                      <m:e>
                        <m:r>
                          <m:rPr>
                            <m:sty m:val="p"/>
                          </m:rPr>
                          <w:rPr>
                            <w:rFonts w:ascii="Cambria Math" w:hAnsi="Cambria Math"/>
                          </w:rPr>
                          <m:t>log</m:t>
                        </m:r>
                        <m:ctrlPr>
                          <w:rPr>
                            <w:rFonts w:ascii="Cambria Math" w:hAnsi="Cambria Math"/>
                            <w:spacing w:val="2"/>
                            <w:lang w:val="en-US" w:eastAsia="en-US"/>
                          </w:rPr>
                        </m:ctrlPr>
                      </m:e>
                      <m:sub>
                        <m:r>
                          <w:rPr>
                            <w:rFonts w:ascii="Cambria Math" w:hAnsi="Cambria Math"/>
                          </w:rPr>
                          <m:t>2</m:t>
                        </m:r>
                        <m:ctrlPr>
                          <w:rPr>
                            <w:rFonts w:ascii="Cambria Math" w:hAnsi="Cambria Math"/>
                            <w:spacing w:val="2"/>
                            <w:lang w:val="en-US" w:eastAsia="en-US"/>
                          </w:rPr>
                        </m:ctrlPr>
                      </m:sub>
                    </m:sSub>
                  </m:fName>
                  <m:e>
                    <m:r>
                      <w:rPr>
                        <w:rFonts w:ascii="Cambria Math" w:hAnsi="Cambria Math"/>
                        <w:spacing w:val="2"/>
                        <w:lang w:val="en-US" w:eastAsia="en-US"/>
                      </w:rPr>
                      <m:t>28</m:t>
                    </m:r>
                  </m:e>
                </m:func>
              </m:e>
            </m:d>
          </m:e>
        </m:nary>
        <m:r>
          <w:rPr>
            <w:rFonts w:ascii="Cambria Math" w:hAnsi="Cambria Math"/>
            <w:spacing w:val="2"/>
            <w:lang w:val="en-US" w:eastAsia="en-US"/>
          </w:rPr>
          <m:t>=20</m:t>
        </m:r>
      </m:oMath>
      <w:r>
        <w:rPr>
          <w:spacing w:val="2"/>
          <w:lang w:val="en-US" w:eastAsia="en-US"/>
        </w:rPr>
        <w:t xml:space="preserve"> bits while Approach 2 yields an overhead of </w:t>
      </w:r>
      <m:oMath>
        <m:d>
          <m:dPr>
            <m:begChr m:val="⌈"/>
            <m:endChr m:val="⌉"/>
            <m:ctrlPr>
              <w:rPr>
                <w:rFonts w:ascii="Cambria Math" w:hAnsi="Cambria Math"/>
                <w:i/>
                <w:spacing w:val="2"/>
                <w:lang w:val="en-US" w:eastAsia="en-US"/>
              </w:rPr>
            </m:ctrlPr>
          </m:dPr>
          <m:e>
            <m:func>
              <m:funcPr>
                <m:ctrlPr>
                  <w:rPr>
                    <w:rFonts w:ascii="Cambria Math" w:hAnsi="Cambria Math"/>
                    <w:i/>
                    <w:spacing w:val="2"/>
                    <w:lang w:val="en-US" w:eastAsia="en-US"/>
                  </w:rPr>
                </m:ctrlPr>
              </m:funcPr>
              <m:fName>
                <m:sSub>
                  <m:sSubPr>
                    <m:ctrlPr>
                      <w:rPr>
                        <w:rFonts w:ascii="Cambria Math" w:hAnsi="Cambria Math"/>
                        <w:i/>
                        <w:spacing w:val="2"/>
                        <w:lang w:val="en-US" w:eastAsia="en-US"/>
                      </w:rPr>
                    </m:ctrlPr>
                  </m:sSubPr>
                  <m:e>
                    <m:r>
                      <m:rPr>
                        <m:sty m:val="p"/>
                      </m:rPr>
                      <w:rPr>
                        <w:rFonts w:ascii="Cambria Math" w:hAnsi="Cambria Math"/>
                      </w:rPr>
                      <m:t>log</m:t>
                    </m:r>
                    <m:ctrlPr>
                      <w:rPr>
                        <w:rFonts w:ascii="Cambria Math" w:hAnsi="Cambria Math"/>
                        <w:spacing w:val="2"/>
                        <w:lang w:val="en-US" w:eastAsia="en-US"/>
                      </w:rPr>
                    </m:ctrlPr>
                  </m:e>
                  <m:sub>
                    <m:r>
                      <w:rPr>
                        <w:rFonts w:ascii="Cambria Math" w:hAnsi="Cambria Math"/>
                      </w:rPr>
                      <m:t>2</m:t>
                    </m:r>
                    <m:ctrlPr>
                      <w:rPr>
                        <w:rFonts w:ascii="Cambria Math" w:hAnsi="Cambria Math"/>
                        <w:spacing w:val="2"/>
                        <w:lang w:val="en-US" w:eastAsia="en-US"/>
                      </w:rPr>
                    </m:ctrlPr>
                  </m:sub>
                </m:sSub>
              </m:fName>
              <m:e>
                <m:nary>
                  <m:naryPr>
                    <m:chr m:val="∑"/>
                    <m:limLoc m:val="undOvr"/>
                    <m:ctrlPr>
                      <w:rPr>
                        <w:rFonts w:ascii="Cambria Math" w:hAnsi="Cambria Math"/>
                        <w:i/>
                        <w:spacing w:val="2"/>
                        <w:lang w:val="en-US" w:eastAsia="en-US"/>
                      </w:rPr>
                    </m:ctrlPr>
                  </m:naryPr>
                  <m:sub>
                    <m:r>
                      <w:rPr>
                        <w:rFonts w:ascii="Cambria Math" w:hAnsi="Cambria Math"/>
                      </w:rPr>
                      <m:t>l=0</m:t>
                    </m:r>
                  </m:sub>
                  <m:sup>
                    <m:r>
                      <w:rPr>
                        <w:rFonts w:ascii="Cambria Math" w:hAnsi="Cambria Math"/>
                        <w:spacing w:val="2"/>
                        <w:lang w:val="en-US" w:eastAsia="en-US"/>
                      </w:rPr>
                      <m:t>3</m:t>
                    </m:r>
                  </m:sup>
                  <m:e>
                    <m:r>
                      <w:rPr>
                        <w:rFonts w:ascii="Cambria Math" w:eastAsia="Malgun Gothic" w:hAnsi="Cambria Math"/>
                        <w:spacing w:val="2"/>
                        <w:lang w:val="en-US" w:eastAsia="en-US"/>
                      </w:rPr>
                      <m:t>28</m:t>
                    </m:r>
                  </m:e>
                </m:nary>
              </m:e>
            </m:func>
          </m:e>
        </m:d>
        <m:r>
          <w:rPr>
            <w:rFonts w:ascii="Cambria Math" w:hAnsi="Cambria Math"/>
            <w:spacing w:val="2"/>
            <w:lang w:val="en-US" w:eastAsia="en-US"/>
          </w:rPr>
          <m:t>=7</m:t>
        </m:r>
      </m:oMath>
      <w:r w:rsidR="005C615F">
        <w:rPr>
          <w:spacing w:val="2"/>
          <w:lang w:val="en-US" w:eastAsia="en-US"/>
        </w:rPr>
        <w:t xml:space="preserve"> bits. Clearly</w:t>
      </w:r>
      <w:r w:rsidR="007D74BA">
        <w:rPr>
          <w:spacing w:val="2"/>
          <w:lang w:val="en-US" w:eastAsia="en-US"/>
        </w:rPr>
        <w:t>, Approach 2 seems to have an advantage!</w:t>
      </w:r>
    </w:p>
    <w:p w14:paraId="317A8924" w14:textId="71F0C9B9" w:rsidR="008B616A" w:rsidRDefault="00BC4229" w:rsidP="008B616A">
      <w:pPr>
        <w:pStyle w:val="Observation"/>
      </w:pPr>
      <w:bookmarkStart w:id="4" w:name="_Toc4774086"/>
      <w:r>
        <w:t>Joint</w:t>
      </w:r>
      <w:r w:rsidR="007D74BA">
        <w:t xml:space="preserve"> number of non-zero coefficient indication</w:t>
      </w:r>
      <w:r>
        <w:t xml:space="preserve"> across layers</w:t>
      </w:r>
      <w:r w:rsidR="007D74BA">
        <w:t xml:space="preserve"> can reduce overhead compared to</w:t>
      </w:r>
      <w:r w:rsidR="00A178CD">
        <w:t xml:space="preserve"> layer-</w:t>
      </w:r>
      <w:r>
        <w:t>wise</w:t>
      </w:r>
      <w:r w:rsidR="00A178CD">
        <w:t xml:space="preserve"> non-zero coefficient indication</w:t>
      </w:r>
      <w:bookmarkEnd w:id="4"/>
    </w:p>
    <w:p w14:paraId="73665A3F" w14:textId="3A2B66FC" w:rsidR="00BC4229" w:rsidRDefault="00BC4229" w:rsidP="00BC4229">
      <w:pPr>
        <w:pStyle w:val="Proposal"/>
      </w:pPr>
      <w:bookmarkStart w:id="5" w:name="_Toc4771617"/>
      <w:r>
        <w:t>Support joint</w:t>
      </w:r>
      <w:r w:rsidRPr="00BC4229">
        <w:t xml:space="preserve"> </w:t>
      </w:r>
      <w:r>
        <w:t>number of non-zero coefficient indication across layers and separate RI encoding in UCI Part 1</w:t>
      </w:r>
      <w:bookmarkEnd w:id="5"/>
    </w:p>
    <w:p w14:paraId="1BCC9A54" w14:textId="681DCCA2" w:rsidR="00432E34" w:rsidRPr="00432E34" w:rsidRDefault="00A178CD" w:rsidP="00495524">
      <w:pPr>
        <w:pStyle w:val="BodyText"/>
      </w:pPr>
      <w:r>
        <w:t xml:space="preserve">In fact, if layer-common </w:t>
      </w:r>
      <w:r w:rsidR="00BA0ED3">
        <w:t xml:space="preserve">NNZC indication is used, the </w:t>
      </w:r>
      <w:r w:rsidR="005F4D4C">
        <w:t xml:space="preserve">UE may be configured with </w:t>
      </w:r>
      <m:oMath>
        <m:sSubSup>
          <m:sSubSupPr>
            <m:ctrlPr>
              <w:rPr>
                <w:rFonts w:ascii="Cambria Math" w:hAnsi="Cambria Math"/>
                <w:i/>
                <w:spacing w:val="2"/>
                <w:lang w:val="en-US" w:eastAsia="en-US"/>
              </w:rPr>
            </m:ctrlPr>
          </m:sSubSupPr>
          <m:e>
            <m:r>
              <w:rPr>
                <w:rFonts w:ascii="Cambria Math" w:hAnsi="Cambria Math"/>
              </w:rPr>
              <m:t>K</m:t>
            </m:r>
          </m:e>
          <m:sub>
            <m:r>
              <w:rPr>
                <w:rFonts w:ascii="Cambria Math" w:hAnsi="Cambria Math"/>
              </w:rPr>
              <m:t>0</m:t>
            </m:r>
          </m:sub>
          <m:sup>
            <m:r>
              <w:rPr>
                <w:rFonts w:ascii="Cambria Math" w:hAnsi="Cambria Math"/>
              </w:rPr>
              <m:t>(TOT)</m:t>
            </m:r>
          </m:sup>
        </m:sSubSup>
        <m:r>
          <w:rPr>
            <w:rFonts w:ascii="Cambria Math" w:hAnsi="Cambria Math"/>
          </w:rPr>
          <m:t>=</m:t>
        </m:r>
        <m:nary>
          <m:naryPr>
            <m:chr m:val="∑"/>
            <m:limLoc m:val="undOvr"/>
            <m:ctrlPr>
              <w:rPr>
                <w:rFonts w:ascii="Cambria Math" w:hAnsi="Cambria Math"/>
                <w:i/>
                <w:spacing w:val="2"/>
                <w:lang w:val="en-US" w:eastAsia="en-US"/>
              </w:rPr>
            </m:ctrlPr>
          </m:naryPr>
          <m:sub>
            <m:r>
              <w:rPr>
                <w:rFonts w:ascii="Cambria Math" w:hAnsi="Cambria Math"/>
              </w:rPr>
              <m:t>l=0</m:t>
            </m:r>
          </m:sub>
          <m:sup>
            <m:r>
              <w:rPr>
                <w:rFonts w:ascii="Cambria Math" w:hAnsi="Cambria Math"/>
              </w:rPr>
              <m:t>R-1</m:t>
            </m:r>
          </m:sup>
          <m:e>
            <m:sSub>
              <m:sSubPr>
                <m:ctrlPr>
                  <w:rPr>
                    <w:rFonts w:ascii="Cambria Math" w:hAnsi="Cambria Math"/>
                    <w:i/>
                    <w:spacing w:val="2"/>
                    <w:lang w:val="en-US" w:eastAsia="en-US"/>
                  </w:rPr>
                </m:ctrlPr>
              </m:sSubPr>
              <m:e>
                <m:r>
                  <w:rPr>
                    <w:rFonts w:ascii="Cambria Math" w:hAnsi="Cambria Math"/>
                  </w:rPr>
                  <m:t>K</m:t>
                </m:r>
              </m:e>
              <m:sub>
                <m:r>
                  <w:rPr>
                    <w:rFonts w:ascii="Cambria Math" w:hAnsi="Cambria Math"/>
                  </w:rPr>
                  <m:t>0</m:t>
                </m:r>
              </m:sub>
            </m:sSub>
            <m:r>
              <w:rPr>
                <w:rFonts w:ascii="Cambria Math" w:hAnsi="Cambria Math"/>
              </w:rPr>
              <m:t>(l)</m:t>
            </m:r>
          </m:e>
        </m:nary>
      </m:oMath>
      <w:r w:rsidR="00BA0ED3">
        <w:t xml:space="preserve"> but can fr</w:t>
      </w:r>
      <w:r w:rsidR="005F4D4C">
        <w:t xml:space="preserve">eely distribute the budgeted </w:t>
      </w:r>
      <m:oMath>
        <m:sSubSup>
          <m:sSubSupPr>
            <m:ctrlPr>
              <w:rPr>
                <w:rFonts w:ascii="Cambria Math" w:hAnsi="Cambria Math"/>
                <w:i/>
                <w:spacing w:val="2"/>
                <w:lang w:val="en-US" w:eastAsia="en-US"/>
              </w:rPr>
            </m:ctrlPr>
          </m:sSubSupPr>
          <m:e>
            <m:r>
              <w:rPr>
                <w:rFonts w:ascii="Cambria Math" w:hAnsi="Cambria Math"/>
              </w:rPr>
              <m:t>K</m:t>
            </m:r>
          </m:e>
          <m:sub>
            <m:r>
              <w:rPr>
                <w:rFonts w:ascii="Cambria Math" w:hAnsi="Cambria Math"/>
              </w:rPr>
              <m:t>0</m:t>
            </m:r>
          </m:sub>
          <m:sup>
            <m:r>
              <w:rPr>
                <w:rFonts w:ascii="Cambria Math" w:hAnsi="Cambria Math"/>
              </w:rPr>
              <m:t>(TOT)</m:t>
            </m:r>
          </m:sup>
        </m:sSubSup>
      </m:oMath>
      <w:r w:rsidR="005F4D4C">
        <w:t xml:space="preserve"> coefficients between the layers in order to optimize the precoding performance. For instance, the UE may determine that some layers have more non-zero coefficients than others and therefore choose the allocate more feedback bits to </w:t>
      </w:r>
      <w:r w:rsidR="00495524">
        <w:t>those</w:t>
      </w:r>
      <w:r w:rsidR="005F4D4C">
        <w:t xml:space="preserve"> layers.</w:t>
      </w:r>
      <w:r w:rsidR="00B43789">
        <w:t xml:space="preserve"> Since the gNB can determine the distribution of</w:t>
      </w:r>
      <w:r w:rsidR="00FE5487">
        <w:t xml:space="preserve"> the </w:t>
      </w:r>
      <w:r w:rsidR="00272564">
        <w:t>non-zero coefficients by looking at the bitmap, there is no ambiguity.</w:t>
      </w:r>
    </w:p>
    <w:p w14:paraId="4B8BDB71" w14:textId="2877C726" w:rsidR="005D30B4" w:rsidRDefault="008B2C63" w:rsidP="008B2C63">
      <w:pPr>
        <w:pStyle w:val="Heading1"/>
      </w:pPr>
      <w:r>
        <w:t>Bitmap per layer</w:t>
      </w:r>
    </w:p>
    <w:p w14:paraId="161FBBF9" w14:textId="61614C10" w:rsidR="00272564" w:rsidRPr="00272564" w:rsidRDefault="00272564" w:rsidP="00272564">
      <w:r>
        <w:t xml:space="preserve">The bitmap design should be rather straightforward, i.e. for layer </w:t>
      </w:r>
      <w:r>
        <w:rPr>
          <w:i/>
        </w:rPr>
        <w:t>l</w:t>
      </w:r>
      <w:r>
        <w:t xml:space="preserve">, the bitmap size is </w:t>
      </w:r>
      <m:oMath>
        <m:r>
          <w:rPr>
            <w:rFonts w:ascii="Cambria Math" w:hAnsi="Cambria Math"/>
          </w:rPr>
          <m:t>2</m:t>
        </m:r>
        <m:sSub>
          <m:sSubPr>
            <m:ctrlPr>
              <w:rPr>
                <w:rFonts w:ascii="Cambria Math" w:eastAsia="Batang" w:hAnsi="Cambria Math"/>
                <w:i/>
                <w:szCs w:val="24"/>
                <w:lang w:eastAsia="x-none"/>
              </w:rPr>
            </m:ctrlPr>
          </m:sSubPr>
          <m:e>
            <m:r>
              <w:rPr>
                <w:rFonts w:ascii="Cambria Math" w:hAnsi="Cambria Math"/>
              </w:rPr>
              <m:t>L</m:t>
            </m:r>
          </m:e>
          <m:sub>
            <m:r>
              <w:rPr>
                <w:rFonts w:ascii="Cambria Math" w:hAnsi="Cambria Math"/>
              </w:rPr>
              <m:t>l</m:t>
            </m:r>
          </m:sub>
        </m:sSub>
        <m:sSub>
          <m:sSubPr>
            <m:ctrlPr>
              <w:rPr>
                <w:rFonts w:ascii="Cambria Math" w:eastAsia="Batang" w:hAnsi="Cambria Math"/>
                <w:i/>
                <w:szCs w:val="24"/>
                <w:lang w:eastAsia="x-none"/>
              </w:rPr>
            </m:ctrlPr>
          </m:sSubPr>
          <m:e>
            <m:r>
              <w:rPr>
                <w:rFonts w:ascii="Cambria Math" w:hAnsi="Cambria Math"/>
              </w:rPr>
              <m:t>M</m:t>
            </m:r>
          </m:e>
          <m:sub>
            <m:r>
              <w:rPr>
                <w:rFonts w:ascii="Cambria Math" w:hAnsi="Cambria Math"/>
              </w:rPr>
              <m:t>l</m:t>
            </m:r>
          </m:sub>
        </m:sSub>
      </m:oMath>
      <w:r w:rsidR="006C2580">
        <w:rPr>
          <w:szCs w:val="24"/>
          <w:lang w:eastAsia="x-none"/>
        </w:rPr>
        <w:t>.</w:t>
      </w:r>
    </w:p>
    <w:p w14:paraId="5CE908C6" w14:textId="078A7860" w:rsidR="008B2C63" w:rsidRDefault="008B2C63" w:rsidP="008B2C63">
      <w:pPr>
        <w:pStyle w:val="Heading1"/>
      </w:pPr>
      <w:r>
        <w:t>Strongest coefficient indicator</w:t>
      </w:r>
    </w:p>
    <w:p w14:paraId="6638A5E2" w14:textId="5FE14D58" w:rsidR="004F26F4" w:rsidRDefault="004F26F4" w:rsidP="004F26F4">
      <w:pPr>
        <w:rPr>
          <w:szCs w:val="24"/>
        </w:rPr>
      </w:pPr>
      <w:r>
        <w:t>The design o</w:t>
      </w:r>
      <w:r w:rsidR="003931C2">
        <w:t>f the UCI parameter</w:t>
      </w:r>
      <w:r w:rsidR="007A5EBB">
        <w:t xml:space="preserve">(s) for the SCI seems rather straightforward as well, </w:t>
      </w:r>
      <w:r w:rsidR="00800B33">
        <w:t xml:space="preserve">i.e. based on the indicated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&lt;2LM</m:t>
        </m:r>
      </m:oMath>
      <w:r w:rsidR="00800B33">
        <w:t xml:space="preserve"> non-zero coefficients in the bitmap</w:t>
      </w:r>
      <w:r w:rsidR="00CB5E13">
        <w:t xml:space="preserve"> for a certain layer, one has to be indicated as the strongest</w:t>
      </w:r>
      <w:r w:rsidR="00C851E0">
        <w:t xml:space="preserve"> coefficient. This can be done using </w:t>
      </w:r>
      <m:oMath>
        <m:d>
          <m:dPr>
            <m:begChr m:val="⌈"/>
            <m:endChr m:val="⌉"/>
            <m:ctrlPr>
              <w:rPr>
                <w:rFonts w:ascii="Cambria Math" w:hAnsi="Cambria Math"/>
                <w:i/>
                <w:szCs w:val="24"/>
              </w:rPr>
            </m:ctrlPr>
          </m:dPr>
          <m:e>
            <m:func>
              <m:funcPr>
                <m:ctrlPr>
                  <w:rPr>
                    <w:rFonts w:ascii="Cambria Math" w:hAnsi="Cambria Math"/>
                    <w:i/>
                    <w:szCs w:val="24"/>
                  </w:rPr>
                </m:ctrlPr>
              </m:funcPr>
              <m:fName>
                <m:sSub>
                  <m:sSubPr>
                    <m:ctrlPr>
                      <w:rPr>
                        <w:rFonts w:ascii="Cambria Math" w:hAnsi="Cambria Math"/>
                        <w:i/>
                        <w:szCs w:val="24"/>
                      </w:rPr>
                    </m:ctrlPr>
                  </m:sSubPr>
                  <m:e>
                    <m:r>
                      <m:rPr>
                        <m:sty m:val="p"/>
                      </m:rPr>
                      <w:rPr>
                        <w:rFonts w:ascii="Cambria Math" w:hAnsi="Cambria Math"/>
                        <w:sz w:val="16"/>
                      </w:rPr>
                      <m:t>log</m:t>
                    </m:r>
                    <m:ctrlPr>
                      <w:rPr>
                        <w:rFonts w:ascii="Cambria Math" w:hAnsi="Cambria Math"/>
                        <w:szCs w:val="24"/>
                      </w:rPr>
                    </m:ctrlPr>
                  </m:e>
                  <m:sub>
                    <m:r>
                      <w:rPr>
                        <w:rFonts w:ascii="Cambria Math" w:hAnsi="Cambria Math"/>
                        <w:sz w:val="16"/>
                      </w:rPr>
                      <m:t>2</m:t>
                    </m:r>
                    <m:ctrlPr>
                      <w:rPr>
                        <w:rFonts w:ascii="Cambria Math" w:hAnsi="Cambria Math"/>
                        <w:szCs w:val="24"/>
                      </w:rPr>
                    </m:ctrlPr>
                  </m:sub>
                </m:sSub>
              </m:fName>
              <m:e>
                <m:sSub>
                  <m:sSubPr>
                    <m:ctrlPr>
                      <w:rPr>
                        <w:rFonts w:ascii="Cambria Math" w:hAnsi="Cambria Math"/>
                        <w:i/>
                        <w:szCs w:val="24"/>
                      </w:rPr>
                    </m:ctrlPr>
                  </m:sSubPr>
                  <m:e>
                    <m:r>
                      <w:rPr>
                        <w:rFonts w:ascii="Cambria Math" w:hAnsi="Cambria Math"/>
                        <w:szCs w:val="24"/>
                      </w:rPr>
                      <m:t>K</m:t>
                    </m:r>
                  </m:e>
                  <m:sub>
                    <m:r>
                      <w:rPr>
                        <w:rFonts w:ascii="Cambria Math" w:hAnsi="Cambria Math"/>
                        <w:szCs w:val="24"/>
                      </w:rPr>
                      <m:t>1</m:t>
                    </m:r>
                  </m:sub>
                </m:sSub>
              </m:e>
            </m:func>
          </m:e>
        </m:d>
      </m:oMath>
      <w:r w:rsidR="00C851E0">
        <w:rPr>
          <w:szCs w:val="24"/>
        </w:rPr>
        <w:t xml:space="preserve"> bits</w:t>
      </w:r>
      <w:r w:rsidR="008F0E97">
        <w:rPr>
          <w:szCs w:val="24"/>
        </w:rPr>
        <w:t xml:space="preserve">, if </w:t>
      </w:r>
      <m:oMath>
        <m:sSub>
          <m:sSubPr>
            <m:ctrlPr>
              <w:rPr>
                <w:rFonts w:ascii="Cambria Math" w:hAnsi="Cambria Math"/>
                <w:i/>
                <w:szCs w:val="24"/>
              </w:rPr>
            </m:ctrlPr>
          </m:sSubPr>
          <m:e>
            <m:r>
              <w:rPr>
                <w:rFonts w:ascii="Cambria Math" w:hAnsi="Cambria Math"/>
                <w:szCs w:val="24"/>
              </w:rPr>
              <m:t>K</m:t>
            </m:r>
          </m:e>
          <m:sub>
            <m:r>
              <w:rPr>
                <w:rFonts w:ascii="Cambria Math" w:hAnsi="Cambria Math"/>
                <w:szCs w:val="24"/>
              </w:rPr>
              <m:t>1</m:t>
            </m:r>
          </m:sub>
        </m:sSub>
      </m:oMath>
      <w:r w:rsidR="008F0E97">
        <w:rPr>
          <w:szCs w:val="24"/>
        </w:rPr>
        <w:t xml:space="preserve"> is known prior to UCI Part 2 decoding</w:t>
      </w:r>
      <w:r w:rsidR="003F5C96">
        <w:rPr>
          <w:szCs w:val="24"/>
        </w:rPr>
        <w:t xml:space="preserve">. Depending on the design, </w:t>
      </w:r>
      <m:oMath>
        <m:sSub>
          <m:sSubPr>
            <m:ctrlPr>
              <w:rPr>
                <w:rFonts w:ascii="Cambria Math" w:hAnsi="Cambria Math"/>
                <w:i/>
                <w:szCs w:val="24"/>
              </w:rPr>
            </m:ctrlPr>
          </m:sSubPr>
          <m:e>
            <m:r>
              <w:rPr>
                <w:rFonts w:ascii="Cambria Math" w:hAnsi="Cambria Math"/>
                <w:szCs w:val="24"/>
              </w:rPr>
              <m:t>K</m:t>
            </m:r>
          </m:e>
          <m:sub>
            <m:r>
              <w:rPr>
                <w:rFonts w:ascii="Cambria Math" w:hAnsi="Cambria Math"/>
                <w:szCs w:val="24"/>
              </w:rPr>
              <m:t>1</m:t>
            </m:r>
          </m:sub>
        </m:sSub>
      </m:oMath>
      <w:r w:rsidR="003F5C96">
        <w:rPr>
          <w:szCs w:val="24"/>
        </w:rPr>
        <w:t xml:space="preserve"> is either explicitly indicated in </w:t>
      </w:r>
      <w:r w:rsidR="006C2580">
        <w:rPr>
          <w:szCs w:val="24"/>
        </w:rPr>
        <w:t>UCI</w:t>
      </w:r>
      <w:r w:rsidR="003F5C96">
        <w:rPr>
          <w:szCs w:val="24"/>
        </w:rPr>
        <w:t xml:space="preserve"> Part 1</w:t>
      </w:r>
      <w:r w:rsidR="008F0E97">
        <w:rPr>
          <w:szCs w:val="24"/>
        </w:rPr>
        <w:t xml:space="preserve">, where a bitwidth of </w:t>
      </w:r>
      <m:oMath>
        <m:d>
          <m:dPr>
            <m:begChr m:val="⌈"/>
            <m:endChr m:val="⌉"/>
            <m:ctrlPr>
              <w:rPr>
                <w:rFonts w:ascii="Cambria Math" w:hAnsi="Cambria Math"/>
                <w:i/>
                <w:szCs w:val="24"/>
              </w:rPr>
            </m:ctrlPr>
          </m:dPr>
          <m:e>
            <m:func>
              <m:funcPr>
                <m:ctrlPr>
                  <w:rPr>
                    <w:rFonts w:ascii="Cambria Math" w:hAnsi="Cambria Math"/>
                    <w:i/>
                    <w:szCs w:val="24"/>
                  </w:rPr>
                </m:ctrlPr>
              </m:funcPr>
              <m:fName>
                <m:sSub>
                  <m:sSubPr>
                    <m:ctrlPr>
                      <w:rPr>
                        <w:rFonts w:ascii="Cambria Math" w:hAnsi="Cambria Math"/>
                        <w:i/>
                        <w:szCs w:val="24"/>
                      </w:rPr>
                    </m:ctrlPr>
                  </m:sSubPr>
                  <m:e>
                    <m:r>
                      <m:rPr>
                        <m:sty m:val="p"/>
                      </m:rPr>
                      <w:rPr>
                        <w:rFonts w:ascii="Cambria Math" w:hAnsi="Cambria Math"/>
                        <w:sz w:val="16"/>
                      </w:rPr>
                      <m:t>log</m:t>
                    </m:r>
                    <m:ctrlPr>
                      <w:rPr>
                        <w:rFonts w:ascii="Cambria Math" w:hAnsi="Cambria Math"/>
                        <w:szCs w:val="24"/>
                      </w:rPr>
                    </m:ctrlPr>
                  </m:e>
                  <m:sub>
                    <m:r>
                      <w:rPr>
                        <w:rFonts w:ascii="Cambria Math" w:hAnsi="Cambria Math"/>
                        <w:sz w:val="16"/>
                      </w:rPr>
                      <m:t>2</m:t>
                    </m:r>
                    <m:ctrlPr>
                      <w:rPr>
                        <w:rFonts w:ascii="Cambria Math" w:hAnsi="Cambria Math"/>
                        <w:szCs w:val="24"/>
                      </w:rPr>
                    </m:ctrlPr>
                  </m:sub>
                </m:sSub>
              </m:fName>
              <m:e>
                <m:sSub>
                  <m:sSubPr>
                    <m:ctrlPr>
                      <w:rPr>
                        <w:rFonts w:ascii="Cambria Math" w:hAnsi="Cambria Math"/>
                        <w:i/>
                        <w:szCs w:val="24"/>
                      </w:rPr>
                    </m:ctrlPr>
                  </m:sSubPr>
                  <m:e>
                    <m:r>
                      <w:rPr>
                        <w:rFonts w:ascii="Cambria Math" w:hAnsi="Cambria Math"/>
                        <w:szCs w:val="24"/>
                      </w:rPr>
                      <m:t>K</m:t>
                    </m:r>
                  </m:e>
                  <m:sub>
                    <m:r>
                      <w:rPr>
                        <w:rFonts w:ascii="Cambria Math" w:hAnsi="Cambria Math"/>
                        <w:szCs w:val="24"/>
                      </w:rPr>
                      <m:t>1</m:t>
                    </m:r>
                  </m:sub>
                </m:sSub>
              </m:e>
            </m:func>
          </m:e>
        </m:d>
      </m:oMath>
      <w:r w:rsidR="008F0E97">
        <w:rPr>
          <w:szCs w:val="24"/>
        </w:rPr>
        <w:t xml:space="preserve"> for the SCI per layer in UCI Part 2 can be directly applied. Or</w:t>
      </w:r>
      <w:r w:rsidR="0044682C">
        <w:rPr>
          <w:szCs w:val="24"/>
        </w:rPr>
        <w:t>, a total number of non-zero coefficients across all layers is indicated</w:t>
      </w:r>
      <w:r w:rsidR="00E91562">
        <w:rPr>
          <w:szCs w:val="24"/>
        </w:rPr>
        <w:t xml:space="preserve"> in UCI Part 1, whereby each individual </w:t>
      </w:r>
      <m:oMath>
        <m:sSub>
          <m:sSubPr>
            <m:ctrlPr>
              <w:rPr>
                <w:rFonts w:ascii="Cambria Math" w:hAnsi="Cambria Math"/>
                <w:i/>
                <w:szCs w:val="24"/>
              </w:rPr>
            </m:ctrlPr>
          </m:sSubPr>
          <m:e>
            <m:r>
              <w:rPr>
                <w:rFonts w:ascii="Cambria Math" w:hAnsi="Cambria Math"/>
                <w:szCs w:val="24"/>
              </w:rPr>
              <m:t>K</m:t>
            </m:r>
          </m:e>
          <m:sub>
            <m:r>
              <w:rPr>
                <w:rFonts w:ascii="Cambria Math" w:hAnsi="Cambria Math"/>
                <w:szCs w:val="24"/>
              </w:rPr>
              <m:t>1</m:t>
            </m:r>
          </m:sub>
        </m:sSub>
      </m:oMath>
      <w:r w:rsidR="00E91562">
        <w:rPr>
          <w:szCs w:val="24"/>
        </w:rPr>
        <w:t xml:space="preserve"> per layer is</w:t>
      </w:r>
      <w:r w:rsidR="009B76D8">
        <w:rPr>
          <w:szCs w:val="24"/>
        </w:rPr>
        <w:t xml:space="preserve"> </w:t>
      </w:r>
      <w:r w:rsidR="00DF0075">
        <w:rPr>
          <w:szCs w:val="24"/>
        </w:rPr>
        <w:t>unknown</w:t>
      </w:r>
      <w:r w:rsidR="009B76D8">
        <w:rPr>
          <w:szCs w:val="24"/>
        </w:rPr>
        <w:t>. In that case, the bitwidth of the SCI</w:t>
      </w:r>
      <w:r w:rsidR="00DF0075">
        <w:rPr>
          <w:szCs w:val="24"/>
        </w:rPr>
        <w:t xml:space="preserve"> per layer</w:t>
      </w:r>
      <w:r w:rsidR="009B76D8">
        <w:rPr>
          <w:szCs w:val="24"/>
        </w:rPr>
        <w:t xml:space="preserve"> needs to be fixed to </w:t>
      </w:r>
      <m:oMath>
        <m:d>
          <m:dPr>
            <m:begChr m:val="⌈"/>
            <m:endChr m:val="⌉"/>
            <m:ctrlPr>
              <w:rPr>
                <w:rFonts w:ascii="Cambria Math" w:hAnsi="Cambria Math"/>
                <w:i/>
                <w:szCs w:val="24"/>
              </w:rPr>
            </m:ctrlPr>
          </m:dPr>
          <m:e>
            <m:func>
              <m:funcPr>
                <m:ctrlPr>
                  <w:rPr>
                    <w:rFonts w:ascii="Cambria Math" w:hAnsi="Cambria Math"/>
                    <w:i/>
                    <w:szCs w:val="24"/>
                  </w:rPr>
                </m:ctrlPr>
              </m:funcPr>
              <m:fName>
                <m:sSub>
                  <m:sSubPr>
                    <m:ctrlPr>
                      <w:rPr>
                        <w:rFonts w:ascii="Cambria Math" w:hAnsi="Cambria Math"/>
                        <w:i/>
                        <w:szCs w:val="24"/>
                      </w:rPr>
                    </m:ctrlPr>
                  </m:sSubPr>
                  <m:e>
                    <m:r>
                      <m:rPr>
                        <m:sty m:val="p"/>
                      </m:rPr>
                      <w:rPr>
                        <w:rFonts w:ascii="Cambria Math" w:hAnsi="Cambria Math"/>
                        <w:sz w:val="16"/>
                      </w:rPr>
                      <m:t>log</m:t>
                    </m:r>
                    <m:ctrlPr>
                      <w:rPr>
                        <w:rFonts w:ascii="Cambria Math" w:hAnsi="Cambria Math"/>
                        <w:szCs w:val="24"/>
                      </w:rPr>
                    </m:ctrlPr>
                  </m:e>
                  <m:sub>
                    <m:r>
                      <w:rPr>
                        <w:rFonts w:ascii="Cambria Math" w:hAnsi="Cambria Math"/>
                        <w:sz w:val="16"/>
                      </w:rPr>
                      <m:t>2</m:t>
                    </m:r>
                    <m:ctrlPr>
                      <w:rPr>
                        <w:rFonts w:ascii="Cambria Math" w:hAnsi="Cambria Math"/>
                        <w:szCs w:val="24"/>
                      </w:rPr>
                    </m:ctrlPr>
                  </m:sub>
                </m:sSub>
              </m:fName>
              <m:e>
                <m:sSub>
                  <m:sSubPr>
                    <m:ctrlPr>
                      <w:rPr>
                        <w:rFonts w:ascii="Cambria Math" w:hAnsi="Cambria Math"/>
                        <w:i/>
                        <w:szCs w:val="24"/>
                      </w:rPr>
                    </m:ctrlPr>
                  </m:sSubPr>
                  <m:e>
                    <m:r>
                      <w:rPr>
                        <w:rFonts w:ascii="Cambria Math" w:hAnsi="Cambria Math"/>
                        <w:szCs w:val="24"/>
                      </w:rPr>
                      <m:t>K</m:t>
                    </m:r>
                  </m:e>
                  <m:sub>
                    <m:r>
                      <w:rPr>
                        <w:rFonts w:ascii="Cambria Math" w:hAnsi="Cambria Math"/>
                        <w:szCs w:val="24"/>
                      </w:rPr>
                      <m:t>0</m:t>
                    </m:r>
                  </m:sub>
                </m:sSub>
              </m:e>
            </m:func>
          </m:e>
        </m:d>
      </m:oMath>
      <w:r w:rsidR="00DF0075">
        <w:rPr>
          <w:szCs w:val="24"/>
        </w:rPr>
        <w:t xml:space="preserve">. However, since the difference between </w:t>
      </w:r>
      <m:oMath>
        <m:sSub>
          <m:sSubPr>
            <m:ctrlPr>
              <w:rPr>
                <w:rFonts w:ascii="Cambria Math" w:hAnsi="Cambria Math"/>
                <w:i/>
                <w:szCs w:val="24"/>
              </w:rPr>
            </m:ctrlPr>
          </m:sSubPr>
          <m:e>
            <m:r>
              <w:rPr>
                <w:rFonts w:ascii="Cambria Math" w:hAnsi="Cambria Math"/>
                <w:szCs w:val="24"/>
              </w:rPr>
              <m:t>K</m:t>
            </m:r>
          </m:e>
          <m:sub>
            <m:r>
              <w:rPr>
                <w:rFonts w:ascii="Cambria Math" w:hAnsi="Cambria Math"/>
                <w:szCs w:val="24"/>
              </w:rPr>
              <m:t>1</m:t>
            </m:r>
          </m:sub>
        </m:sSub>
      </m:oMath>
      <w:r w:rsidR="00DF0075">
        <w:rPr>
          <w:szCs w:val="24"/>
        </w:rPr>
        <w:t xml:space="preserve">  and </w:t>
      </w:r>
      <m:oMath>
        <m:sSub>
          <m:sSubPr>
            <m:ctrlPr>
              <w:rPr>
                <w:rFonts w:ascii="Cambria Math" w:hAnsi="Cambria Math"/>
                <w:i/>
                <w:szCs w:val="24"/>
              </w:rPr>
            </m:ctrlPr>
          </m:sSubPr>
          <m:e>
            <m:r>
              <w:rPr>
                <w:rFonts w:ascii="Cambria Math" w:hAnsi="Cambria Math"/>
                <w:szCs w:val="24"/>
              </w:rPr>
              <m:t>K</m:t>
            </m:r>
          </m:e>
          <m:sub>
            <m:r>
              <w:rPr>
                <w:rFonts w:ascii="Cambria Math" w:hAnsi="Cambria Math"/>
                <w:szCs w:val="24"/>
              </w:rPr>
              <m:t>0</m:t>
            </m:r>
          </m:sub>
        </m:sSub>
      </m:oMath>
      <w:r w:rsidR="00DF0075">
        <w:rPr>
          <w:szCs w:val="24"/>
        </w:rPr>
        <w:t xml:space="preserve"> likely is small, the bitwidth may</w:t>
      </w:r>
      <w:r w:rsidR="005B6F01">
        <w:rPr>
          <w:szCs w:val="24"/>
        </w:rPr>
        <w:t xml:space="preserve"> in most cases be the same regardless.</w:t>
      </w:r>
    </w:p>
    <w:p w14:paraId="1BBC010F" w14:textId="2EE4BD22" w:rsidR="00FB0072" w:rsidRDefault="00FB0072" w:rsidP="004F26F4">
      <w:pPr>
        <w:rPr>
          <w:szCs w:val="24"/>
        </w:rPr>
      </w:pPr>
      <w:r>
        <w:rPr>
          <w:szCs w:val="24"/>
        </w:rPr>
        <w:t xml:space="preserve">The SCI thus indicates one out of </w:t>
      </w:r>
      <m:oMath>
        <m:sSub>
          <m:sSubPr>
            <m:ctrlPr>
              <w:rPr>
                <w:rFonts w:ascii="Cambria Math" w:hAnsi="Cambria Math"/>
                <w:i/>
                <w:szCs w:val="24"/>
              </w:rPr>
            </m:ctrlPr>
          </m:sSubPr>
          <m:e>
            <m:r>
              <w:rPr>
                <w:rFonts w:ascii="Cambria Math" w:hAnsi="Cambria Math"/>
                <w:szCs w:val="24"/>
              </w:rPr>
              <m:t>K</m:t>
            </m:r>
          </m:e>
          <m:sub>
            <m:r>
              <w:rPr>
                <w:rFonts w:ascii="Cambria Math" w:hAnsi="Cambria Math"/>
                <w:szCs w:val="24"/>
              </w:rPr>
              <m:t>1</m:t>
            </m:r>
          </m:sub>
        </m:sSub>
      </m:oMath>
      <w:r w:rsidR="006C2580">
        <w:rPr>
          <w:szCs w:val="24"/>
        </w:rPr>
        <w:t xml:space="preserve"> </w:t>
      </w:r>
      <w:r>
        <w:rPr>
          <w:szCs w:val="24"/>
        </w:rPr>
        <w:t>coefficients</w:t>
      </w:r>
      <w:r w:rsidR="00200DB9">
        <w:rPr>
          <w:szCs w:val="24"/>
        </w:rPr>
        <w:t xml:space="preserve"> as the strongest. This of course assumes some ordering of the 2LM coefficients in the bitmap, for instance assuming a row</w:t>
      </w:r>
      <w:r w:rsidR="00E66819">
        <w:rPr>
          <w:szCs w:val="24"/>
        </w:rPr>
        <w:t>-first ordering or column-first ordering, but this should be straightforward.</w:t>
      </w:r>
    </w:p>
    <w:p w14:paraId="054F0772" w14:textId="0B56A803" w:rsidR="005B6F01" w:rsidRPr="004F26F4" w:rsidRDefault="005B6F01" w:rsidP="005B6F01">
      <w:pPr>
        <w:pStyle w:val="Proposal"/>
      </w:pPr>
      <w:bookmarkStart w:id="6" w:name="_Toc4771618"/>
      <w:r>
        <w:t xml:space="preserve">The SCI per layer is indicated using </w:t>
      </w:r>
      <m:oMath>
        <m:d>
          <m:dPr>
            <m:begChr m:val="⌈"/>
            <m:endChr m:val="⌉"/>
            <m:ctrlPr>
              <w:rPr>
                <w:rFonts w:ascii="Cambria Math" w:hAnsi="Cambria Math"/>
                <w:i/>
                <w:szCs w:val="24"/>
              </w:rPr>
            </m:ctrlPr>
          </m:dPr>
          <m:e>
            <m:func>
              <m:funcPr>
                <m:ctrlPr>
                  <w:rPr>
                    <w:rFonts w:ascii="Cambria Math" w:hAnsi="Cambria Math"/>
                    <w:i/>
                    <w:szCs w:val="24"/>
                  </w:rPr>
                </m:ctrlPr>
              </m:funcPr>
              <m:fName>
                <m:sSub>
                  <m:sSubPr>
                    <m:ctrlPr>
                      <w:rPr>
                        <w:rFonts w:ascii="Cambria Math" w:hAnsi="Cambria Math"/>
                        <w:i/>
                        <w:szCs w:val="24"/>
                      </w:rPr>
                    </m:ctrlPr>
                  </m:sSubPr>
                  <m:e>
                    <m:r>
                      <m:rPr>
                        <m:sty m:val="b"/>
                      </m:rPr>
                      <w:rPr>
                        <w:rFonts w:ascii="Cambria Math" w:hAnsi="Cambria Math"/>
                        <w:sz w:val="16"/>
                      </w:rPr>
                      <m:t>log</m:t>
                    </m:r>
                    <m:ctrlPr>
                      <w:rPr>
                        <w:rFonts w:ascii="Cambria Math" w:hAnsi="Cambria Math"/>
                        <w:szCs w:val="24"/>
                      </w:rPr>
                    </m:ctrlPr>
                  </m:e>
                  <m:sub>
                    <m:r>
                      <m:rPr>
                        <m:sty m:val="bi"/>
                      </m:rPr>
                      <w:rPr>
                        <w:rFonts w:ascii="Cambria Math" w:hAnsi="Cambria Math"/>
                        <w:sz w:val="16"/>
                      </w:rPr>
                      <m:t>2</m:t>
                    </m:r>
                    <m:ctrlPr>
                      <w:rPr>
                        <w:rFonts w:ascii="Cambria Math" w:hAnsi="Cambria Math"/>
                        <w:szCs w:val="24"/>
                      </w:rPr>
                    </m:ctrlPr>
                  </m:sub>
                </m:sSub>
              </m:fName>
              <m:e>
                <m:sSub>
                  <m:sSubPr>
                    <m:ctrlPr>
                      <w:rPr>
                        <w:rFonts w:ascii="Cambria Math" w:hAnsi="Cambria Math"/>
                        <w:i/>
                        <w:szCs w:val="24"/>
                      </w:rPr>
                    </m:ctrlPr>
                  </m:sSubPr>
                  <m:e>
                    <m:r>
                      <m:rPr>
                        <m:sty m:val="bi"/>
                      </m:rPr>
                      <w:rPr>
                        <w:rFonts w:ascii="Cambria Math" w:hAnsi="Cambria Math"/>
                        <w:szCs w:val="24"/>
                      </w:rPr>
                      <m:t>K</m:t>
                    </m:r>
                  </m:e>
                  <m:sub>
                    <m:r>
                      <m:rPr>
                        <m:sty m:val="bi"/>
                      </m:rPr>
                      <w:rPr>
                        <w:rFonts w:ascii="Cambria Math" w:hAnsi="Cambria Math"/>
                        <w:szCs w:val="24"/>
                      </w:rPr>
                      <m:t>0</m:t>
                    </m:r>
                  </m:sub>
                </m:sSub>
              </m:e>
            </m:func>
          </m:e>
        </m:d>
      </m:oMath>
      <w:r>
        <w:rPr>
          <w:szCs w:val="24"/>
        </w:rPr>
        <w:t xml:space="preserve"> or </w:t>
      </w:r>
      <m:oMath>
        <m:d>
          <m:dPr>
            <m:begChr m:val="⌈"/>
            <m:endChr m:val="⌉"/>
            <m:ctrlPr>
              <w:rPr>
                <w:rFonts w:ascii="Cambria Math" w:hAnsi="Cambria Math"/>
                <w:i/>
                <w:szCs w:val="24"/>
              </w:rPr>
            </m:ctrlPr>
          </m:dPr>
          <m:e>
            <m:func>
              <m:funcPr>
                <m:ctrlPr>
                  <w:rPr>
                    <w:rFonts w:ascii="Cambria Math" w:hAnsi="Cambria Math"/>
                    <w:i/>
                    <w:szCs w:val="24"/>
                  </w:rPr>
                </m:ctrlPr>
              </m:funcPr>
              <m:fName>
                <m:sSub>
                  <m:sSubPr>
                    <m:ctrlPr>
                      <w:rPr>
                        <w:rFonts w:ascii="Cambria Math" w:hAnsi="Cambria Math"/>
                        <w:i/>
                        <w:szCs w:val="24"/>
                      </w:rPr>
                    </m:ctrlPr>
                  </m:sSubPr>
                  <m:e>
                    <m:r>
                      <m:rPr>
                        <m:sty m:val="b"/>
                      </m:rPr>
                      <w:rPr>
                        <w:rFonts w:ascii="Cambria Math" w:hAnsi="Cambria Math"/>
                        <w:sz w:val="16"/>
                      </w:rPr>
                      <m:t>log</m:t>
                    </m:r>
                    <m:ctrlPr>
                      <w:rPr>
                        <w:rFonts w:ascii="Cambria Math" w:hAnsi="Cambria Math"/>
                        <w:szCs w:val="24"/>
                      </w:rPr>
                    </m:ctrlPr>
                  </m:e>
                  <m:sub>
                    <m:r>
                      <m:rPr>
                        <m:sty m:val="bi"/>
                      </m:rPr>
                      <w:rPr>
                        <w:rFonts w:ascii="Cambria Math" w:hAnsi="Cambria Math"/>
                        <w:sz w:val="16"/>
                      </w:rPr>
                      <m:t>2</m:t>
                    </m:r>
                    <m:ctrlPr>
                      <w:rPr>
                        <w:rFonts w:ascii="Cambria Math" w:hAnsi="Cambria Math"/>
                        <w:szCs w:val="24"/>
                      </w:rPr>
                    </m:ctrlPr>
                  </m:sub>
                </m:sSub>
              </m:fName>
              <m:e>
                <m:sSub>
                  <m:sSubPr>
                    <m:ctrlPr>
                      <w:rPr>
                        <w:rFonts w:ascii="Cambria Math" w:hAnsi="Cambria Math"/>
                        <w:i/>
                        <w:szCs w:val="24"/>
                      </w:rPr>
                    </m:ctrlPr>
                  </m:sSubPr>
                  <m:e>
                    <m:r>
                      <m:rPr>
                        <m:sty m:val="bi"/>
                      </m:rPr>
                      <w:rPr>
                        <w:rFonts w:ascii="Cambria Math" w:hAnsi="Cambria Math"/>
                        <w:szCs w:val="24"/>
                      </w:rPr>
                      <m:t>K</m:t>
                    </m:r>
                  </m:e>
                  <m:sub>
                    <m:r>
                      <m:rPr>
                        <m:sty m:val="bi"/>
                      </m:rPr>
                      <w:rPr>
                        <w:rFonts w:ascii="Cambria Math" w:hAnsi="Cambria Math"/>
                        <w:szCs w:val="24"/>
                      </w:rPr>
                      <m:t>1</m:t>
                    </m:r>
                  </m:sub>
                </m:sSub>
              </m:e>
            </m:func>
          </m:e>
        </m:d>
      </m:oMath>
      <w:r>
        <w:rPr>
          <w:szCs w:val="24"/>
        </w:rPr>
        <w:t xml:space="preserve"> bits, depending on the outcome of</w:t>
      </w:r>
      <w:r w:rsidR="00FB0072">
        <w:rPr>
          <w:szCs w:val="24"/>
        </w:rPr>
        <w:t xml:space="preserve"> other UCI design aspects</w:t>
      </w:r>
      <w:bookmarkEnd w:id="6"/>
    </w:p>
    <w:p w14:paraId="3DD4DC89" w14:textId="77777777" w:rsidR="008B2C63" w:rsidRPr="008B2C63" w:rsidRDefault="008B2C63" w:rsidP="008B2C63"/>
    <w:p w14:paraId="730284D8" w14:textId="2A1D3914" w:rsidR="008B2C63" w:rsidRDefault="008B2C63" w:rsidP="008B2C63">
      <w:pPr>
        <w:pStyle w:val="Heading1"/>
      </w:pPr>
      <w:r>
        <w:t>SD/FD subset indication</w:t>
      </w:r>
    </w:p>
    <w:p w14:paraId="3E238EC8" w14:textId="48313615" w:rsidR="008B2C63" w:rsidRDefault="008B2C63" w:rsidP="008B2C63">
      <w:pPr>
        <w:rPr>
          <w:szCs w:val="24"/>
        </w:rPr>
      </w:pPr>
      <w:r>
        <w:t xml:space="preserve">It seems rather straightforward to </w:t>
      </w:r>
      <w:r w:rsidR="00D10083">
        <w:t xml:space="preserve">indicate the </w:t>
      </w:r>
      <w:r w:rsidR="00CE779B">
        <w:t>S</w:t>
      </w:r>
      <w:r w:rsidR="00D10083">
        <w:t>D and</w:t>
      </w:r>
      <w:r w:rsidR="00CE779B">
        <w:t xml:space="preserve"> F</w:t>
      </w:r>
      <w:r w:rsidR="00D10083">
        <w:t xml:space="preserve">D subset selection in UCI </w:t>
      </w:r>
      <w:r w:rsidR="008274D1">
        <w:t>with</w:t>
      </w:r>
      <w:r w:rsidR="00D10083">
        <w:t xml:space="preserve"> combinatorial </w:t>
      </w:r>
      <w:r w:rsidR="008274D1">
        <w:t>numbering</w:t>
      </w:r>
      <w:r w:rsidR="00D10083">
        <w:t xml:space="preserve"> using </w:t>
      </w:r>
      <m:oMath>
        <m:d>
          <m:dPr>
            <m:begChr m:val="⌈"/>
            <m:endChr m:val="⌉"/>
            <m:ctrlPr>
              <w:rPr>
                <w:rFonts w:ascii="Cambria Math" w:hAnsi="Cambria Math"/>
                <w:i/>
                <w:szCs w:val="24"/>
              </w:rPr>
            </m:ctrlPr>
          </m:dPr>
          <m:e>
            <m:func>
              <m:funcPr>
                <m:ctrlPr>
                  <w:rPr>
                    <w:rFonts w:ascii="Cambria Math" w:hAnsi="Cambria Math"/>
                    <w:i/>
                    <w:szCs w:val="24"/>
                  </w:rPr>
                </m:ctrlPr>
              </m:funcPr>
              <m:fName>
                <m:sSub>
                  <m:sSubPr>
                    <m:ctrlPr>
                      <w:rPr>
                        <w:rFonts w:ascii="Cambria Math" w:hAnsi="Cambria Math"/>
                        <w:i/>
                        <w:szCs w:val="24"/>
                      </w:rPr>
                    </m:ctrlPr>
                  </m:sSubPr>
                  <m:e>
                    <m:r>
                      <m:rPr>
                        <m:sty m:val="p"/>
                      </m:rPr>
                      <w:rPr>
                        <w:rFonts w:ascii="Cambria Math" w:hAnsi="Cambria Math"/>
                        <w:sz w:val="16"/>
                      </w:rPr>
                      <m:t>log</m:t>
                    </m:r>
                    <m:ctrlPr>
                      <w:rPr>
                        <w:rFonts w:ascii="Cambria Math" w:hAnsi="Cambria Math"/>
                        <w:szCs w:val="24"/>
                      </w:rPr>
                    </m:ctrlPr>
                  </m:e>
                  <m:sub>
                    <m:r>
                      <w:rPr>
                        <w:rFonts w:ascii="Cambria Math" w:hAnsi="Cambria Math"/>
                        <w:sz w:val="16"/>
                      </w:rPr>
                      <m:t>2</m:t>
                    </m:r>
                    <m:ctrlPr>
                      <w:rPr>
                        <w:rFonts w:ascii="Cambria Math" w:hAnsi="Cambria Math"/>
                        <w:szCs w:val="24"/>
                      </w:rPr>
                    </m:ctrlPr>
                  </m:sub>
                </m:sSub>
              </m:fName>
              <m:e>
                <m:d>
                  <m:dPr>
                    <m:ctrlPr>
                      <w:rPr>
                        <w:rFonts w:ascii="Cambria Math" w:hAnsi="Cambria Math"/>
                        <w:i/>
                        <w:szCs w:val="24"/>
                      </w:rPr>
                    </m:ctrlPr>
                  </m:dPr>
                  <m:e>
                    <m:eqArr>
                      <m:eqArrPr>
                        <m:ctrlPr>
                          <w:rPr>
                            <w:rFonts w:ascii="Cambria Math" w:hAnsi="Cambria Math"/>
                            <w:i/>
                            <w:szCs w:val="24"/>
                          </w:rPr>
                        </m:ctrlPr>
                      </m:eqArrPr>
                      <m:e>
                        <m:sSub>
                          <m:sSubPr>
                            <m:ctrlPr>
                              <w:rPr>
                                <w:rFonts w:ascii="Cambria Math" w:hAnsi="Cambria Math"/>
                                <w:i/>
                                <w:szCs w:val="24"/>
                              </w:rPr>
                            </m:ctrlPr>
                          </m:sSubPr>
                          <m:e>
                            <m:r>
                              <w:rPr>
                                <w:rFonts w:ascii="Cambria Math" w:hAnsi="Cambria Math"/>
                                <w:szCs w:val="24"/>
                              </w:rPr>
                              <m:t>N</m:t>
                            </m:r>
                          </m:e>
                          <m:sub>
                            <m:r>
                              <w:rPr>
                                <w:rFonts w:ascii="Cambria Math" w:hAnsi="Cambria Math"/>
                                <w:szCs w:val="24"/>
                              </w:rPr>
                              <m:t>1</m:t>
                            </m:r>
                          </m:sub>
                        </m:sSub>
                        <m:sSub>
                          <m:sSubPr>
                            <m:ctrlPr>
                              <w:rPr>
                                <w:rFonts w:ascii="Cambria Math" w:hAnsi="Cambria Math"/>
                                <w:i/>
                                <w:szCs w:val="24"/>
                              </w:rPr>
                            </m:ctrlPr>
                          </m:sSubPr>
                          <m:e>
                            <m:r>
                              <w:rPr>
                                <w:rFonts w:ascii="Cambria Math" w:hAnsi="Cambria Math"/>
                                <w:szCs w:val="24"/>
                              </w:rPr>
                              <m:t>N</m:t>
                            </m:r>
                          </m:e>
                          <m:sub>
                            <m:r>
                              <w:rPr>
                                <w:rFonts w:ascii="Cambria Math" w:hAnsi="Cambria Math"/>
                                <w:szCs w:val="24"/>
                              </w:rPr>
                              <m:t>2</m:t>
                            </m:r>
                          </m:sub>
                        </m:sSub>
                      </m:e>
                      <m:e>
                        <m:r>
                          <w:rPr>
                            <w:rFonts w:ascii="Cambria Math" w:hAnsi="Cambria Math"/>
                            <w:szCs w:val="24"/>
                          </w:rPr>
                          <m:t>L</m:t>
                        </m:r>
                      </m:e>
                    </m:eqArr>
                  </m:e>
                </m:d>
              </m:e>
            </m:func>
          </m:e>
        </m:d>
      </m:oMath>
      <w:r w:rsidR="00CE779B">
        <w:rPr>
          <w:szCs w:val="24"/>
        </w:rPr>
        <w:t xml:space="preserve"> bits (</w:t>
      </w:r>
      <w:r w:rsidR="008274D1">
        <w:rPr>
          <w:szCs w:val="24"/>
        </w:rPr>
        <w:t xml:space="preserve">and additionally 2+2 bits for rotation factors) and </w:t>
      </w:r>
      <m:oMath>
        <m:d>
          <m:dPr>
            <m:begChr m:val="⌈"/>
            <m:endChr m:val="⌉"/>
            <m:ctrlPr>
              <w:rPr>
                <w:rFonts w:ascii="Cambria Math" w:hAnsi="Cambria Math"/>
                <w:i/>
                <w:szCs w:val="24"/>
              </w:rPr>
            </m:ctrlPr>
          </m:dPr>
          <m:e>
            <m:func>
              <m:funcPr>
                <m:ctrlPr>
                  <w:rPr>
                    <w:rFonts w:ascii="Cambria Math" w:hAnsi="Cambria Math"/>
                    <w:i/>
                    <w:szCs w:val="24"/>
                  </w:rPr>
                </m:ctrlPr>
              </m:funcPr>
              <m:fName>
                <m:sSub>
                  <m:sSubPr>
                    <m:ctrlPr>
                      <w:rPr>
                        <w:rFonts w:ascii="Cambria Math" w:hAnsi="Cambria Math"/>
                        <w:i/>
                        <w:szCs w:val="24"/>
                      </w:rPr>
                    </m:ctrlPr>
                  </m:sSubPr>
                  <m:e>
                    <m:r>
                      <m:rPr>
                        <m:sty m:val="p"/>
                      </m:rPr>
                      <w:rPr>
                        <w:rFonts w:ascii="Cambria Math" w:hAnsi="Cambria Math"/>
                        <w:sz w:val="16"/>
                      </w:rPr>
                      <m:t>log</m:t>
                    </m:r>
                    <m:ctrlPr>
                      <w:rPr>
                        <w:rFonts w:ascii="Cambria Math" w:hAnsi="Cambria Math"/>
                        <w:szCs w:val="24"/>
                      </w:rPr>
                    </m:ctrlPr>
                  </m:e>
                  <m:sub>
                    <m:r>
                      <w:rPr>
                        <w:rFonts w:ascii="Cambria Math" w:hAnsi="Cambria Math"/>
                        <w:sz w:val="16"/>
                      </w:rPr>
                      <m:t>2</m:t>
                    </m:r>
                    <m:ctrlPr>
                      <w:rPr>
                        <w:rFonts w:ascii="Cambria Math" w:hAnsi="Cambria Math"/>
                        <w:szCs w:val="24"/>
                      </w:rPr>
                    </m:ctrlPr>
                  </m:sub>
                </m:sSub>
              </m:fName>
              <m:e>
                <m:d>
                  <m:dPr>
                    <m:ctrlPr>
                      <w:rPr>
                        <w:rFonts w:ascii="Cambria Math" w:hAnsi="Cambria Math"/>
                        <w:i/>
                        <w:szCs w:val="24"/>
                      </w:rPr>
                    </m:ctrlPr>
                  </m:dPr>
                  <m:e>
                    <m:eqArr>
                      <m:eqArrPr>
                        <m:ctrlPr>
                          <w:rPr>
                            <w:rFonts w:ascii="Cambria Math" w:hAnsi="Cambria Math"/>
                            <w:i/>
                            <w:szCs w:val="24"/>
                          </w:rPr>
                        </m:ctrlPr>
                      </m:eqArrPr>
                      <m:e>
                        <m:sSub>
                          <m:sSubPr>
                            <m:ctrlPr>
                              <w:rPr>
                                <w:rFonts w:ascii="Cambria Math" w:hAnsi="Cambria Math"/>
                                <w:i/>
                                <w:szCs w:val="24"/>
                              </w:rPr>
                            </m:ctrlPr>
                          </m:sSubPr>
                          <m:e>
                            <m:r>
                              <w:rPr>
                                <w:rFonts w:ascii="Cambria Math" w:hAnsi="Cambria Math"/>
                                <w:szCs w:val="24"/>
                              </w:rPr>
                              <m:t>N</m:t>
                            </m:r>
                          </m:e>
                          <m:sub>
                            <m:r>
                              <w:rPr>
                                <w:rFonts w:ascii="Cambria Math" w:hAnsi="Cambria Math"/>
                                <w:szCs w:val="24"/>
                              </w:rPr>
                              <m:t>3</m:t>
                            </m:r>
                          </m:sub>
                        </m:sSub>
                      </m:e>
                      <m:e>
                        <m:r>
                          <w:rPr>
                            <w:rFonts w:ascii="Cambria Math" w:hAnsi="Cambria Math"/>
                            <w:szCs w:val="24"/>
                          </w:rPr>
                          <m:t>M</m:t>
                        </m:r>
                      </m:e>
                    </m:eqArr>
                  </m:e>
                </m:d>
              </m:e>
            </m:func>
          </m:e>
        </m:d>
      </m:oMath>
      <w:r w:rsidR="008274D1">
        <w:rPr>
          <w:szCs w:val="24"/>
        </w:rPr>
        <w:t xml:space="preserve"> bits, respectively. However, depending on the outcome of the discussion for ranks 3-4</w:t>
      </w:r>
      <w:r w:rsidR="00206233">
        <w:rPr>
          <w:szCs w:val="24"/>
        </w:rPr>
        <w:t xml:space="preserve">, some variations may have to be made. Thus, we need to wait </w:t>
      </w:r>
      <w:r w:rsidR="00195ECB">
        <w:rPr>
          <w:szCs w:val="24"/>
        </w:rPr>
        <w:t>agreements on this issue before settling the UCI parameter details.</w:t>
      </w:r>
      <w:r w:rsidR="00BA7723">
        <w:rPr>
          <w:szCs w:val="24"/>
        </w:rPr>
        <w:t xml:space="preserve"> This also includes </w:t>
      </w:r>
      <w:r w:rsidR="006C2580">
        <w:rPr>
          <w:szCs w:val="24"/>
        </w:rPr>
        <w:t>whether or</w:t>
      </w:r>
      <w:r w:rsidR="00BA7723">
        <w:rPr>
          <w:szCs w:val="24"/>
        </w:rPr>
        <w:t xml:space="preserve"> not to use intermediary basis subset as is discussed in the next section.</w:t>
      </w:r>
    </w:p>
    <w:p w14:paraId="30B98D33" w14:textId="6813FCE9" w:rsidR="00195ECB" w:rsidRDefault="00195ECB" w:rsidP="00195ECB">
      <w:pPr>
        <w:pStyle w:val="Observation"/>
      </w:pPr>
      <w:bookmarkStart w:id="7" w:name="_Toc4774087"/>
      <w:r>
        <w:t xml:space="preserve">UCI design for SD/FD basis subset indication can be done after </w:t>
      </w:r>
      <w:r w:rsidR="00BA11EC">
        <w:t>rank 3-4 SD/FD basis design is settled</w:t>
      </w:r>
      <w:bookmarkEnd w:id="7"/>
    </w:p>
    <w:p w14:paraId="61DA56B3" w14:textId="4A31B321" w:rsidR="00BA11EC" w:rsidRDefault="00BA11EC" w:rsidP="00BA11EC">
      <w:pPr>
        <w:rPr>
          <w:rFonts w:eastAsiaTheme="minorEastAsia"/>
        </w:rPr>
      </w:pPr>
      <w:r>
        <w:t>However, regarding “</w:t>
      </w:r>
      <w:r>
        <w:rPr>
          <w:rFonts w:eastAsiaTheme="minorEastAsia"/>
        </w:rPr>
        <w:t xml:space="preserve">Impact of the bitwidth if subset restriction is supported” for FD-basis. </w:t>
      </w:r>
      <w:r w:rsidR="00221F45">
        <w:rPr>
          <w:rFonts w:eastAsiaTheme="minorEastAsia"/>
        </w:rPr>
        <w:t>Current CBSR in LTE and NR does not impact the PMI payload. In fact, that is a defining characteristic of CBSR</w:t>
      </w:r>
      <w:r w:rsidR="00DD4B1F">
        <w:rPr>
          <w:rFonts w:eastAsiaTheme="minorEastAsia"/>
        </w:rPr>
        <w:t>. If PMI payload is adapted based on FD-basis restriction, it is not CBSR but rather a part of the codebook parameterization</w:t>
      </w:r>
      <w:r w:rsidR="006E34C8">
        <w:rPr>
          <w:rFonts w:eastAsiaTheme="minorEastAsia"/>
        </w:rPr>
        <w:t>. This is discussed further in [1].</w:t>
      </w:r>
    </w:p>
    <w:p w14:paraId="6FB1DCDD" w14:textId="6C92B420" w:rsidR="006E34C8" w:rsidRPr="008B2C63" w:rsidRDefault="006E34C8" w:rsidP="006E34C8">
      <w:pPr>
        <w:pStyle w:val="Proposal"/>
      </w:pPr>
      <w:bookmarkStart w:id="8" w:name="_Toc4771619"/>
      <w:r>
        <w:t xml:space="preserve">FD-basis CBSR, if supported, does not impact UCI design or bitwidth of UCI </w:t>
      </w:r>
      <w:r w:rsidR="00BA7723">
        <w:t>parameters</w:t>
      </w:r>
      <w:bookmarkEnd w:id="8"/>
    </w:p>
    <w:p w14:paraId="42AF4868" w14:textId="0C9F9F33" w:rsidR="008B2C63" w:rsidRDefault="006E34C8" w:rsidP="008B2C63">
      <w:pPr>
        <w:pStyle w:val="Heading1"/>
      </w:pPr>
      <w:r>
        <w:t xml:space="preserve">Dynamic </w:t>
      </w:r>
      <w:r w:rsidR="001B6E4A">
        <w:t>codebook parametrization</w:t>
      </w:r>
      <w:r w:rsidR="001D0B06">
        <w:t xml:space="preserve"> selection</w:t>
      </w:r>
    </w:p>
    <w:p w14:paraId="40C123F2" w14:textId="5664496D" w:rsidR="001D0B06" w:rsidRPr="001D0B06" w:rsidRDefault="001D0B06" w:rsidP="001D0B06">
      <w:r>
        <w:t>A couple of proposals</w:t>
      </w:r>
      <w:r w:rsidR="001B6E4A">
        <w:t xml:space="preserve"> for additional UCI parameters</w:t>
      </w:r>
      <w:r w:rsidR="00163B1E">
        <w:t xml:space="preserve"> relate to change the codebook parametrization dynamically and indicate this in UCI:</w:t>
      </w:r>
    </w:p>
    <w:tbl>
      <w:tblPr>
        <w:tblStyle w:val="TableGrid"/>
        <w:tblW w:w="9355" w:type="dxa"/>
        <w:tblLook w:val="04A0" w:firstRow="1" w:lastRow="0" w:firstColumn="1" w:lastColumn="0" w:noHBand="0" w:noVBand="1"/>
      </w:tblPr>
      <w:tblGrid>
        <w:gridCol w:w="1885"/>
        <w:gridCol w:w="2340"/>
        <w:gridCol w:w="5130"/>
      </w:tblGrid>
      <w:tr w:rsidR="001D0B06" w14:paraId="7590740E" w14:textId="77777777" w:rsidTr="00994708">
        <w:tc>
          <w:tcPr>
            <w:tcW w:w="1885" w:type="dxa"/>
            <w:tcBorders>
              <w:top w:val="single" w:sz="4" w:space="0" w:color="auto"/>
              <w:left w:val="single" w:sz="4" w:space="0" w:color="auto"/>
              <w:bottom w:val="single" w:sz="4" w:space="0" w:color="auto"/>
              <w:right w:val="single" w:sz="4" w:space="0" w:color="auto"/>
            </w:tcBorders>
            <w:hideMark/>
          </w:tcPr>
          <w:p w14:paraId="2589F272" w14:textId="77777777" w:rsidR="001D0B06" w:rsidRDefault="001D0B06" w:rsidP="00994708">
            <w:pPr>
              <w:rPr>
                <w:szCs w:val="22"/>
              </w:rPr>
            </w:pPr>
            <w:r>
              <w:rPr>
                <w:i/>
                <w:szCs w:val="22"/>
              </w:rPr>
              <w:t>M</w:t>
            </w:r>
            <w:r>
              <w:rPr>
                <w:szCs w:val="22"/>
              </w:rPr>
              <w:t>’</w:t>
            </w:r>
          </w:p>
        </w:tc>
        <w:tc>
          <w:tcPr>
            <w:tcW w:w="2340" w:type="dxa"/>
            <w:tcBorders>
              <w:top w:val="single" w:sz="4" w:space="0" w:color="auto"/>
              <w:left w:val="single" w:sz="4" w:space="0" w:color="auto"/>
              <w:bottom w:val="single" w:sz="4" w:space="0" w:color="auto"/>
              <w:right w:val="single" w:sz="4" w:space="0" w:color="auto"/>
            </w:tcBorders>
            <w:hideMark/>
          </w:tcPr>
          <w:p w14:paraId="3826CCD1" w14:textId="77777777" w:rsidR="001D0B06" w:rsidRDefault="001D0B06" w:rsidP="00994708">
            <w:pPr>
              <w:rPr>
                <w:szCs w:val="22"/>
              </w:rPr>
            </w:pPr>
            <w:r>
              <w:rPr>
                <w:szCs w:val="22"/>
              </w:rPr>
              <w:t>UCI part 1</w:t>
            </w:r>
          </w:p>
        </w:tc>
        <w:tc>
          <w:tcPr>
            <w:tcW w:w="5130" w:type="dxa"/>
            <w:tcBorders>
              <w:top w:val="single" w:sz="4" w:space="0" w:color="auto"/>
              <w:left w:val="single" w:sz="4" w:space="0" w:color="auto"/>
              <w:bottom w:val="single" w:sz="4" w:space="0" w:color="auto"/>
              <w:right w:val="single" w:sz="4" w:space="0" w:color="auto"/>
            </w:tcBorders>
            <w:hideMark/>
          </w:tcPr>
          <w:p w14:paraId="438C39C1" w14:textId="77777777" w:rsidR="001D0B06" w:rsidRDefault="001D0B06" w:rsidP="00994708">
            <w:pPr>
              <w:rPr>
                <w:szCs w:val="22"/>
              </w:rPr>
            </w:pPr>
            <w:r>
              <w:rPr>
                <w:szCs w:val="22"/>
              </w:rPr>
              <w:t xml:space="preserve">Whether to report </w:t>
            </w:r>
            <w:r>
              <w:rPr>
                <w:i/>
                <w:szCs w:val="22"/>
              </w:rPr>
              <w:t>M</w:t>
            </w:r>
            <w:r>
              <w:rPr>
                <w:szCs w:val="22"/>
              </w:rPr>
              <w:t xml:space="preserve">’ </w:t>
            </w:r>
            <w:r>
              <w:rPr>
                <w:rFonts w:cs="Times"/>
                <w:szCs w:val="22"/>
              </w:rPr>
              <w:t>≤</w:t>
            </w:r>
            <w:r>
              <w:rPr>
                <w:szCs w:val="22"/>
              </w:rPr>
              <w:t xml:space="preserve"> </w:t>
            </w:r>
            <w:r>
              <w:rPr>
                <w:i/>
                <w:szCs w:val="22"/>
              </w:rPr>
              <w:t>M</w:t>
            </w:r>
            <w:r>
              <w:rPr>
                <w:szCs w:val="22"/>
              </w:rPr>
              <w:t>, e.g. # bits, values</w:t>
            </w:r>
          </w:p>
        </w:tc>
      </w:tr>
      <w:tr w:rsidR="001D0B06" w14:paraId="700049BB" w14:textId="77777777" w:rsidTr="00994708">
        <w:tc>
          <w:tcPr>
            <w:tcW w:w="1885" w:type="dxa"/>
            <w:tcBorders>
              <w:top w:val="single" w:sz="4" w:space="0" w:color="auto"/>
              <w:left w:val="single" w:sz="4" w:space="0" w:color="auto"/>
              <w:bottom w:val="single" w:sz="4" w:space="0" w:color="auto"/>
              <w:right w:val="single" w:sz="4" w:space="0" w:color="auto"/>
            </w:tcBorders>
            <w:hideMark/>
          </w:tcPr>
          <w:p w14:paraId="41C14036" w14:textId="77777777" w:rsidR="001D0B06" w:rsidRDefault="005A55D7" w:rsidP="00994708">
            <w:pPr>
              <w:rPr>
                <w:szCs w:val="22"/>
              </w:rPr>
            </w:pPr>
            <m:oMathPara>
              <m:oMathParaPr>
                <m:jc m:val="left"/>
              </m:oMathParaPr>
              <m:oMath>
                <m:sSubSup>
                  <m:sSubSupPr>
                    <m:ctrlPr>
                      <w:rPr>
                        <w:rFonts w:ascii="Cambria Math" w:eastAsia="Batang" w:hAnsi="Cambria Math"/>
                        <w:i/>
                        <w:iCs/>
                        <w:sz w:val="24"/>
                        <w:szCs w:val="24"/>
                        <w:lang w:eastAsia="en-US"/>
                      </w:rPr>
                    </m:ctrlPr>
                  </m:sSubSupPr>
                  <m:e>
                    <m:r>
                      <w:rPr>
                        <w:rFonts w:ascii="Cambria Math" w:hAnsi="Cambria Math"/>
                      </w:rPr>
                      <m:t>N</m:t>
                    </m:r>
                  </m:e>
                  <m:sub>
                    <m:r>
                      <w:rPr>
                        <w:rFonts w:ascii="Cambria Math" w:hAnsi="Cambria Math"/>
                      </w:rPr>
                      <m:t>3</m:t>
                    </m:r>
                  </m:sub>
                  <m:sup>
                    <m:r>
                      <w:rPr>
                        <w:rFonts w:ascii="Cambria Math" w:hAnsi="Cambria Math"/>
                      </w:rPr>
                      <m:t>'</m:t>
                    </m:r>
                  </m:sup>
                </m:sSubSup>
              </m:oMath>
            </m:oMathPara>
          </w:p>
        </w:tc>
        <w:tc>
          <w:tcPr>
            <w:tcW w:w="2340" w:type="dxa"/>
            <w:tcBorders>
              <w:top w:val="single" w:sz="4" w:space="0" w:color="auto"/>
              <w:left w:val="single" w:sz="4" w:space="0" w:color="auto"/>
              <w:bottom w:val="single" w:sz="4" w:space="0" w:color="auto"/>
              <w:right w:val="single" w:sz="4" w:space="0" w:color="auto"/>
            </w:tcBorders>
            <w:hideMark/>
          </w:tcPr>
          <w:p w14:paraId="2DC92CAA" w14:textId="77777777" w:rsidR="001D0B06" w:rsidRDefault="001D0B06" w:rsidP="00994708">
            <w:pPr>
              <w:rPr>
                <w:szCs w:val="22"/>
              </w:rPr>
            </w:pPr>
            <w:r>
              <w:rPr>
                <w:szCs w:val="22"/>
              </w:rPr>
              <w:t>UCI part 1</w:t>
            </w:r>
          </w:p>
        </w:tc>
        <w:tc>
          <w:tcPr>
            <w:tcW w:w="5130" w:type="dxa"/>
            <w:tcBorders>
              <w:top w:val="single" w:sz="4" w:space="0" w:color="auto"/>
              <w:left w:val="single" w:sz="4" w:space="0" w:color="auto"/>
              <w:bottom w:val="single" w:sz="4" w:space="0" w:color="auto"/>
              <w:right w:val="single" w:sz="4" w:space="0" w:color="auto"/>
            </w:tcBorders>
            <w:hideMark/>
          </w:tcPr>
          <w:p w14:paraId="19C32F75" w14:textId="77777777" w:rsidR="001D0B06" w:rsidRDefault="001D0B06" w:rsidP="00994708">
            <w:pPr>
              <w:rPr>
                <w:szCs w:val="22"/>
              </w:rPr>
            </w:pPr>
            <w:r>
              <w:rPr>
                <w:szCs w:val="22"/>
              </w:rPr>
              <w:t xml:space="preserve">Whether to report  </w:t>
            </w:r>
            <m:oMath>
              <m:sSubSup>
                <m:sSubSupPr>
                  <m:ctrlPr>
                    <w:rPr>
                      <w:rFonts w:ascii="Cambria Math" w:eastAsia="Batang" w:hAnsi="Cambria Math"/>
                      <w:i/>
                      <w:iCs/>
                      <w:sz w:val="24"/>
                      <w:szCs w:val="24"/>
                      <w:lang w:eastAsia="en-US"/>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&lt;</m:t>
              </m:r>
              <m:sSub>
                <m:sSubPr>
                  <m:ctrlPr>
                    <w:rPr>
                      <w:rFonts w:ascii="Cambria Math" w:eastAsia="Batang" w:hAnsi="Cambria Math"/>
                      <w:i/>
                      <w:iCs/>
                      <w:sz w:val="24"/>
                      <w:szCs w:val="24"/>
                      <w:lang w:eastAsia="en-US"/>
                    </w:rPr>
                  </m:ctrlPr>
                </m:sSubPr>
                <m:e>
                  <m:r>
                    <w:rPr>
                      <w:rFonts w:ascii="Cambria Math" w:hAnsi="Cambria Math"/>
                    </w:rPr>
                    <m:t>N</m:t>
                  </m:r>
                </m:e>
                <m:sub>
                  <m:r>
                    <w:rPr>
                      <w:rFonts w:ascii="Cambria Math" w:hAnsi="Cambria Math"/>
                    </w:rPr>
                    <m:t>3</m:t>
                  </m:r>
                </m:sub>
              </m:sSub>
            </m:oMath>
            <w:r>
              <w:rPr>
                <w:iCs/>
                <w:sz w:val="24"/>
              </w:rPr>
              <w:t xml:space="preserve">,  </w:t>
            </w:r>
            <w:r>
              <w:rPr>
                <w:iCs/>
              </w:rPr>
              <w:t># bits, values</w:t>
            </w:r>
          </w:p>
        </w:tc>
      </w:tr>
      <w:tr w:rsidR="001D0B06" w14:paraId="4540E2C9" w14:textId="77777777" w:rsidTr="00994708">
        <w:tc>
          <w:tcPr>
            <w:tcW w:w="1885" w:type="dxa"/>
            <w:tcBorders>
              <w:top w:val="single" w:sz="4" w:space="0" w:color="auto"/>
              <w:left w:val="single" w:sz="4" w:space="0" w:color="auto"/>
              <w:bottom w:val="single" w:sz="4" w:space="0" w:color="auto"/>
              <w:right w:val="single" w:sz="4" w:space="0" w:color="auto"/>
            </w:tcBorders>
            <w:hideMark/>
          </w:tcPr>
          <w:p w14:paraId="56198DE8" w14:textId="77777777" w:rsidR="001D0B06" w:rsidRDefault="005A55D7" w:rsidP="00994708">
            <w:pPr>
              <w:rPr>
                <w:szCs w:val="22"/>
              </w:rPr>
            </w:pPr>
            <m:oMath>
              <m:sSubSup>
                <m:sSubSupPr>
                  <m:ctrlPr>
                    <w:rPr>
                      <w:rFonts w:ascii="Cambria Math" w:eastAsia="Batang" w:hAnsi="Cambria Math"/>
                      <w:i/>
                      <w:iCs/>
                      <w:sz w:val="24"/>
                      <w:szCs w:val="24"/>
                      <w:lang w:eastAsia="en-US"/>
                    </w:rPr>
                  </m:ctrlPr>
                </m:sSubSupPr>
                <m:e>
                  <m:r>
                    <w:rPr>
                      <w:rFonts w:ascii="Cambria Math" w:hAnsi="Cambria Math"/>
                    </w:rPr>
                    <m:t>N</m:t>
                  </m:r>
                </m:e>
                <m:sub>
                  <m:r>
                    <w:rPr>
                      <w:rFonts w:ascii="Cambria Math" w:hAnsi="Cambria Math"/>
                    </w:rPr>
                    <m:t>1</m:t>
                  </m:r>
                </m:sub>
                <m:sup>
                  <m:r>
                    <w:rPr>
                      <w:rFonts w:ascii="Cambria Math" w:hAnsi="Cambria Math"/>
                    </w:rPr>
                    <m:t>'</m:t>
                  </m:r>
                </m:sup>
              </m:sSubSup>
            </m:oMath>
            <w:r w:rsidR="001D0B06">
              <w:rPr>
                <w:iCs/>
                <w:sz w:val="24"/>
              </w:rPr>
              <w:t xml:space="preserve">, </w:t>
            </w:r>
            <m:oMath>
              <m:sSubSup>
                <m:sSubSupPr>
                  <m:ctrlPr>
                    <w:rPr>
                      <w:rFonts w:ascii="Cambria Math" w:eastAsia="Batang" w:hAnsi="Cambria Math"/>
                      <w:i/>
                      <w:iCs/>
                      <w:sz w:val="24"/>
                      <w:szCs w:val="24"/>
                      <w:lang w:eastAsia="en-US"/>
                    </w:rPr>
                  </m:ctrlPr>
                </m:sSubSupPr>
                <m:e>
                  <m:r>
                    <w:rPr>
                      <w:rFonts w:ascii="Cambria Math" w:hAnsi="Cambria Math"/>
                    </w:rPr>
                    <m:t>N</m:t>
                  </m:r>
                </m:e>
                <m:sub>
                  <m:r>
                    <w:rPr>
                      <w:rFonts w:ascii="Cambria Math" w:hAnsi="Cambria Math"/>
                    </w:rPr>
                    <m:t>2</m:t>
                  </m:r>
                </m:sub>
                <m:sup>
                  <m:r>
                    <w:rPr>
                      <w:rFonts w:ascii="Cambria Math" w:hAnsi="Cambria Math"/>
                    </w:rPr>
                    <m:t>'</m:t>
                  </m:r>
                </m:sup>
              </m:sSubSup>
            </m:oMath>
            <w:r w:rsidR="001D0B06">
              <w:rPr>
                <w:iCs/>
                <w:sz w:val="24"/>
              </w:rPr>
              <w:t xml:space="preserve"> </w:t>
            </w:r>
          </w:p>
        </w:tc>
        <w:tc>
          <w:tcPr>
            <w:tcW w:w="2340" w:type="dxa"/>
            <w:tcBorders>
              <w:top w:val="single" w:sz="4" w:space="0" w:color="auto"/>
              <w:left w:val="single" w:sz="4" w:space="0" w:color="auto"/>
              <w:bottom w:val="single" w:sz="4" w:space="0" w:color="auto"/>
              <w:right w:val="single" w:sz="4" w:space="0" w:color="auto"/>
            </w:tcBorders>
            <w:hideMark/>
          </w:tcPr>
          <w:p w14:paraId="2D65EA9A" w14:textId="77777777" w:rsidR="001D0B06" w:rsidRDefault="001D0B06" w:rsidP="00994708">
            <w:pPr>
              <w:rPr>
                <w:szCs w:val="22"/>
              </w:rPr>
            </w:pPr>
            <w:r>
              <w:rPr>
                <w:szCs w:val="22"/>
              </w:rPr>
              <w:t>UCI part 1</w:t>
            </w:r>
          </w:p>
        </w:tc>
        <w:tc>
          <w:tcPr>
            <w:tcW w:w="5130" w:type="dxa"/>
            <w:tcBorders>
              <w:top w:val="single" w:sz="4" w:space="0" w:color="auto"/>
              <w:left w:val="single" w:sz="4" w:space="0" w:color="auto"/>
              <w:bottom w:val="single" w:sz="4" w:space="0" w:color="auto"/>
              <w:right w:val="single" w:sz="4" w:space="0" w:color="auto"/>
            </w:tcBorders>
            <w:hideMark/>
          </w:tcPr>
          <w:p w14:paraId="39E5F04F" w14:textId="77777777" w:rsidR="001D0B06" w:rsidRDefault="001D0B06" w:rsidP="00994708">
            <w:pPr>
              <w:rPr>
                <w:szCs w:val="22"/>
              </w:rPr>
            </w:pPr>
            <w:r>
              <w:rPr>
                <w:szCs w:val="22"/>
              </w:rPr>
              <w:t xml:space="preserve">Whether to report </w:t>
            </w:r>
            <m:oMath>
              <m:sSubSup>
                <m:sSubSupPr>
                  <m:ctrlPr>
                    <w:rPr>
                      <w:rFonts w:ascii="Cambria Math" w:eastAsia="Batang" w:hAnsi="Cambria Math"/>
                      <w:i/>
                      <w:iCs/>
                      <w:sz w:val="24"/>
                      <w:szCs w:val="24"/>
                      <w:lang w:eastAsia="en-US"/>
                    </w:rPr>
                  </m:ctrlPr>
                </m:sSubSupPr>
                <m:e>
                  <m:r>
                    <w:rPr>
                      <w:rFonts w:ascii="Cambria Math" w:hAnsi="Cambria Math"/>
                    </w:rPr>
                    <m:t>N</m:t>
                  </m:r>
                </m:e>
                <m:sub>
                  <m:r>
                    <w:rPr>
                      <w:rFonts w:ascii="Cambria Math" w:hAnsi="Cambria Math"/>
                    </w:rPr>
                    <m:t>1</m:t>
                  </m:r>
                </m:sub>
                <m:sup>
                  <m:r>
                    <w:rPr>
                      <w:rFonts w:ascii="Cambria Math" w:hAnsi="Cambria Math"/>
                    </w:rPr>
                    <m:t>'</m:t>
                  </m:r>
                </m:sup>
              </m:sSubSup>
              <m:r>
                <w:rPr>
                  <w:rFonts w:ascii="Cambria Math" w:hAnsi="Cambria Math"/>
                </w:rPr>
                <m:t>&lt;</m:t>
              </m:r>
              <m:sSub>
                <m:sSubPr>
                  <m:ctrlPr>
                    <w:rPr>
                      <w:rFonts w:ascii="Cambria Math" w:eastAsia="Batang" w:hAnsi="Cambria Math"/>
                      <w:i/>
                      <w:iCs/>
                      <w:sz w:val="24"/>
                      <w:szCs w:val="24"/>
                      <w:lang w:eastAsia="en-US"/>
                    </w:rPr>
                  </m:ctrlPr>
                </m:sSubPr>
                <m:e>
                  <m:r>
                    <w:rPr>
                      <w:rFonts w:ascii="Cambria Math" w:hAnsi="Cambria Math"/>
                    </w:rPr>
                    <m:t>N</m:t>
                  </m:r>
                </m:e>
                <m:sub>
                  <m:r>
                    <w:rPr>
                      <w:rFonts w:ascii="Cambria Math" w:hAnsi="Cambria Math"/>
                    </w:rPr>
                    <m:t>1</m:t>
                  </m:r>
                </m:sub>
              </m:sSub>
            </m:oMath>
            <w:r>
              <w:t xml:space="preserve">, </w:t>
            </w:r>
            <m:oMath>
              <m:sSubSup>
                <m:sSubSupPr>
                  <m:ctrlPr>
                    <w:rPr>
                      <w:rFonts w:ascii="Cambria Math" w:eastAsia="Batang" w:hAnsi="Cambria Math"/>
                      <w:i/>
                      <w:iCs/>
                      <w:sz w:val="24"/>
                      <w:szCs w:val="24"/>
                      <w:lang w:eastAsia="en-US"/>
                    </w:rPr>
                  </m:ctrlPr>
                </m:sSubSupPr>
                <m:e>
                  <m:r>
                    <w:rPr>
                      <w:rFonts w:ascii="Cambria Math" w:hAnsi="Cambria Math"/>
                    </w:rPr>
                    <m:t>N</m:t>
                  </m:r>
                </m:e>
                <m:sub>
                  <m:r>
                    <w:rPr>
                      <w:rFonts w:ascii="Cambria Math" w:hAnsi="Cambria Math"/>
                    </w:rPr>
                    <m:t>2</m:t>
                  </m:r>
                </m:sub>
                <m:sup>
                  <m:r>
                    <w:rPr>
                      <w:rFonts w:ascii="Cambria Math" w:hAnsi="Cambria Math"/>
                    </w:rPr>
                    <m:t>'</m:t>
                  </m:r>
                </m:sup>
              </m:sSubSup>
              <m:r>
                <w:rPr>
                  <w:rFonts w:ascii="Cambria Math" w:hAnsi="Cambria Math"/>
                </w:rPr>
                <m:t>&lt;</m:t>
              </m:r>
              <m:sSub>
                <m:sSubPr>
                  <m:ctrlPr>
                    <w:rPr>
                      <w:rFonts w:ascii="Cambria Math" w:eastAsia="Batang" w:hAnsi="Cambria Math"/>
                      <w:i/>
                      <w:iCs/>
                      <w:sz w:val="24"/>
                      <w:szCs w:val="24"/>
                      <w:lang w:eastAsia="en-US"/>
                    </w:rPr>
                  </m:ctrlPr>
                </m:sSubPr>
                <m:e>
                  <m:r>
                    <w:rPr>
                      <w:rFonts w:ascii="Cambria Math" w:hAnsi="Cambria Math"/>
                    </w:rPr>
                    <m:t>N</m:t>
                  </m:r>
                </m:e>
                <m:sub>
                  <m:r>
                    <w:rPr>
                      <w:rFonts w:ascii="Cambria Math" w:hAnsi="Cambria Math"/>
                    </w:rPr>
                    <m:t>2</m:t>
                  </m:r>
                </m:sub>
              </m:sSub>
            </m:oMath>
            <w:r>
              <w:rPr>
                <w:iCs/>
                <w:sz w:val="24"/>
              </w:rPr>
              <w:t xml:space="preserve">, </w:t>
            </w:r>
            <w:r>
              <w:rPr>
                <w:iCs/>
              </w:rPr>
              <w:t># bits, values</w:t>
            </w:r>
          </w:p>
        </w:tc>
      </w:tr>
      <w:tr w:rsidR="00DD5ED2" w14:paraId="6CD8CF08" w14:textId="77777777" w:rsidTr="00DD5ED2">
        <w:tc>
          <w:tcPr>
            <w:tcW w:w="1885" w:type="dxa"/>
            <w:hideMark/>
          </w:tcPr>
          <w:p w14:paraId="4E3173EB" w14:textId="77777777" w:rsidR="00DD5ED2" w:rsidRDefault="00DD5ED2" w:rsidP="00994708">
            <w:pPr>
              <w:rPr>
                <w:szCs w:val="22"/>
              </w:rPr>
            </w:pPr>
            <w:r>
              <w:rPr>
                <w:szCs w:val="22"/>
              </w:rPr>
              <w:t>Size of the bitmap(s) in UCI Part2:</w:t>
            </w:r>
            <w:r>
              <w:rPr>
                <w:i/>
                <w:szCs w:val="22"/>
              </w:rPr>
              <w:t xml:space="preserve"> </w:t>
            </w:r>
            <w:proofErr w:type="spellStart"/>
            <w:r>
              <w:rPr>
                <w:i/>
                <w:szCs w:val="22"/>
              </w:rPr>
              <w:t>N</w:t>
            </w:r>
            <w:r>
              <w:rPr>
                <w:szCs w:val="22"/>
                <w:vertAlign w:val="subscript"/>
              </w:rPr>
              <w:t>b</w:t>
            </w:r>
            <w:proofErr w:type="spellEnd"/>
          </w:p>
        </w:tc>
        <w:tc>
          <w:tcPr>
            <w:tcW w:w="2340" w:type="dxa"/>
            <w:hideMark/>
          </w:tcPr>
          <w:p w14:paraId="5A38D2E4" w14:textId="77777777" w:rsidR="00DD5ED2" w:rsidRDefault="00DD5ED2" w:rsidP="00994708">
            <w:pPr>
              <w:rPr>
                <w:szCs w:val="22"/>
              </w:rPr>
            </w:pPr>
            <w:r>
              <w:rPr>
                <w:szCs w:val="22"/>
              </w:rPr>
              <w:t>UCI part 1</w:t>
            </w:r>
          </w:p>
        </w:tc>
        <w:tc>
          <w:tcPr>
            <w:tcW w:w="5130" w:type="dxa"/>
            <w:hideMark/>
          </w:tcPr>
          <w:p w14:paraId="50FF4A78" w14:textId="77777777" w:rsidR="00DD5ED2" w:rsidRDefault="00DD5ED2" w:rsidP="00994708">
            <w:pPr>
              <w:rPr>
                <w:szCs w:val="22"/>
              </w:rPr>
            </w:pPr>
            <w:r>
              <w:rPr>
                <w:szCs w:val="22"/>
              </w:rPr>
              <w:t xml:space="preserve">Whether to report </w:t>
            </w:r>
            <w:proofErr w:type="spellStart"/>
            <w:r>
              <w:rPr>
                <w:i/>
                <w:szCs w:val="22"/>
              </w:rPr>
              <w:t>N</w:t>
            </w:r>
            <w:r>
              <w:rPr>
                <w:szCs w:val="22"/>
                <w:vertAlign w:val="subscript"/>
              </w:rPr>
              <w:t>b</w:t>
            </w:r>
            <w:proofErr w:type="spellEnd"/>
            <w:r>
              <w:rPr>
                <w:szCs w:val="22"/>
              </w:rPr>
              <w:t>, #bits, values</w:t>
            </w:r>
          </w:p>
        </w:tc>
      </w:tr>
    </w:tbl>
    <w:p w14:paraId="71B0C532" w14:textId="1B43E8C7" w:rsidR="001D0B06" w:rsidRDefault="001D0B06" w:rsidP="001D0B06"/>
    <w:p w14:paraId="1745E260" w14:textId="38EDEEA8" w:rsidR="00C3188D" w:rsidRPr="00BA7723" w:rsidRDefault="00C3188D" w:rsidP="001D0B06">
      <w:pPr>
        <w:rPr>
          <w:iCs/>
          <w:lang w:eastAsia="en-US"/>
        </w:rPr>
      </w:pPr>
      <w:r w:rsidRPr="00BA7723">
        <w:t xml:space="preserve">Regarding </w:t>
      </w:r>
      <m:oMath>
        <m:sSubSup>
          <m:sSubSupPr>
            <m:ctrlPr>
              <w:rPr>
                <w:rFonts w:ascii="Cambria Math" w:eastAsia="Batang" w:hAnsi="Cambria Math"/>
                <w:i/>
                <w:iCs/>
                <w:lang w:eastAsia="en-US"/>
              </w:rPr>
            </m:ctrlPr>
          </m:sSubSupPr>
          <m:e>
            <m:r>
              <w:rPr>
                <w:rFonts w:ascii="Cambria Math" w:hAnsi="Cambria Math"/>
              </w:rPr>
              <m:t>N</m:t>
            </m:r>
          </m:e>
          <m:sub>
            <m:r>
              <w:rPr>
                <w:rFonts w:ascii="Cambria Math" w:hAnsi="Cambria Math"/>
              </w:rPr>
              <m:t>1</m:t>
            </m:r>
          </m:sub>
          <m:sup>
            <m:r>
              <w:rPr>
                <w:rFonts w:ascii="Cambria Math" w:hAnsi="Cambria Math"/>
              </w:rPr>
              <m:t>'</m:t>
            </m:r>
          </m:sup>
        </m:sSubSup>
      </m:oMath>
      <w:r w:rsidRPr="00BA7723">
        <w:rPr>
          <w:iCs/>
        </w:rPr>
        <w:t xml:space="preserve">, </w:t>
      </w:r>
      <m:oMath>
        <m:sSubSup>
          <m:sSubSupPr>
            <m:ctrlPr>
              <w:rPr>
                <w:rFonts w:ascii="Cambria Math" w:eastAsia="Batang" w:hAnsi="Cambria Math"/>
                <w:i/>
                <w:iCs/>
                <w:lang w:eastAsia="en-US"/>
              </w:rPr>
            </m:ctrlPr>
          </m:sSubSupPr>
          <m:e>
            <m:r>
              <w:rPr>
                <w:rFonts w:ascii="Cambria Math" w:hAnsi="Cambria Math"/>
              </w:rPr>
              <m:t>N</m:t>
            </m:r>
          </m:e>
          <m:sub>
            <m:r>
              <w:rPr>
                <w:rFonts w:ascii="Cambria Math" w:hAnsi="Cambria Math"/>
              </w:rPr>
              <m:t>2</m:t>
            </m:r>
          </m:sub>
          <m:sup>
            <m:r>
              <w:rPr>
                <w:rFonts w:ascii="Cambria Math" w:hAnsi="Cambria Math"/>
              </w:rPr>
              <m:t>'</m:t>
            </m:r>
          </m:sup>
        </m:sSubSup>
      </m:oMath>
      <w:r w:rsidRPr="00BA7723">
        <w:rPr>
          <w:iCs/>
          <w:lang w:eastAsia="en-US"/>
        </w:rPr>
        <w:t>,</w:t>
      </w:r>
      <m:oMath>
        <m:sSubSup>
          <m:sSubSupPr>
            <m:ctrlPr>
              <w:rPr>
                <w:rFonts w:ascii="Cambria Math" w:eastAsia="Batang" w:hAnsi="Cambria Math"/>
                <w:i/>
                <w:iCs/>
                <w:lang w:eastAsia="en-US"/>
              </w:rPr>
            </m:ctrlPr>
          </m:sSubSupPr>
          <m:e>
            <m:r>
              <w:rPr>
                <w:rFonts w:ascii="Cambria Math" w:hAnsi="Cambria Math"/>
              </w:rPr>
              <m:t>N</m:t>
            </m:r>
          </m:e>
          <m:sub>
            <m:r>
              <w:rPr>
                <w:rFonts w:ascii="Cambria Math" w:hAnsi="Cambria Math"/>
              </w:rPr>
              <m:t>3</m:t>
            </m:r>
          </m:sub>
          <m:sup>
            <m:r>
              <w:rPr>
                <w:rFonts w:ascii="Cambria Math" w:hAnsi="Cambria Math"/>
              </w:rPr>
              <m:t>'</m:t>
            </m:r>
          </m:sup>
        </m:sSubSup>
      </m:oMath>
      <w:r w:rsidRPr="00BA7723">
        <w:rPr>
          <w:iCs/>
          <w:lang w:eastAsia="en-US"/>
        </w:rPr>
        <w:t>, the motivation seems to be</w:t>
      </w:r>
      <w:r w:rsidR="00F5739F" w:rsidRPr="00BA7723">
        <w:rPr>
          <w:iCs/>
          <w:lang w:eastAsia="en-US"/>
        </w:rPr>
        <w:t xml:space="preserve"> to select a layer-common intermediary basis subset wherefrom a layer-specific </w:t>
      </w:r>
      <w:r w:rsidR="00D17D7C" w:rsidRPr="00BA7723">
        <w:rPr>
          <w:iCs/>
          <w:lang w:eastAsia="en-US"/>
        </w:rPr>
        <w:t xml:space="preserve">basis can be </w:t>
      </w:r>
      <w:r w:rsidR="00340E00" w:rsidRPr="00BA7723">
        <w:rPr>
          <w:iCs/>
          <w:lang w:eastAsia="en-US"/>
        </w:rPr>
        <w:t xml:space="preserve">selected. </w:t>
      </w:r>
      <w:r w:rsidR="00A75F7B" w:rsidRPr="00BA7723">
        <w:rPr>
          <w:iCs/>
          <w:lang w:eastAsia="en-US"/>
        </w:rPr>
        <w:t xml:space="preserve">The motivation for including </w:t>
      </w:r>
      <w:r w:rsidR="00C973F5" w:rsidRPr="00BA7723">
        <w:rPr>
          <w:iCs/>
          <w:lang w:eastAsia="en-US"/>
        </w:rPr>
        <w:t xml:space="preserve">a report of </w:t>
      </w:r>
      <m:oMath>
        <m:sSubSup>
          <m:sSubSupPr>
            <m:ctrlPr>
              <w:rPr>
                <w:rFonts w:ascii="Cambria Math" w:eastAsia="Batang" w:hAnsi="Cambria Math"/>
                <w:i/>
                <w:iCs/>
                <w:lang w:eastAsia="en-US"/>
              </w:rPr>
            </m:ctrlPr>
          </m:sSubSupPr>
          <m:e>
            <m:r>
              <w:rPr>
                <w:rFonts w:ascii="Cambria Math" w:hAnsi="Cambria Math"/>
              </w:rPr>
              <m:t>N</m:t>
            </m:r>
          </m:e>
          <m:sub>
            <m:r>
              <w:rPr>
                <w:rFonts w:ascii="Cambria Math" w:hAnsi="Cambria Math"/>
              </w:rPr>
              <m:t>1</m:t>
            </m:r>
          </m:sub>
          <m:sup>
            <m:r>
              <w:rPr>
                <w:rFonts w:ascii="Cambria Math" w:hAnsi="Cambria Math"/>
              </w:rPr>
              <m:t>'</m:t>
            </m:r>
          </m:sup>
        </m:sSubSup>
      </m:oMath>
      <w:r w:rsidR="00C973F5" w:rsidRPr="00BA7723">
        <w:rPr>
          <w:iCs/>
        </w:rPr>
        <w:t xml:space="preserve">, </w:t>
      </w:r>
      <m:oMath>
        <m:sSubSup>
          <m:sSubSupPr>
            <m:ctrlPr>
              <w:rPr>
                <w:rFonts w:ascii="Cambria Math" w:eastAsia="Batang" w:hAnsi="Cambria Math"/>
                <w:i/>
                <w:iCs/>
                <w:lang w:eastAsia="en-US"/>
              </w:rPr>
            </m:ctrlPr>
          </m:sSubSupPr>
          <m:e>
            <m:r>
              <w:rPr>
                <w:rFonts w:ascii="Cambria Math" w:hAnsi="Cambria Math"/>
              </w:rPr>
              <m:t>N</m:t>
            </m:r>
          </m:e>
          <m:sub>
            <m:r>
              <w:rPr>
                <w:rFonts w:ascii="Cambria Math" w:hAnsi="Cambria Math"/>
              </w:rPr>
              <m:t>2</m:t>
            </m:r>
          </m:sub>
          <m:sup>
            <m:r>
              <w:rPr>
                <w:rFonts w:ascii="Cambria Math" w:hAnsi="Cambria Math"/>
              </w:rPr>
              <m:t>'</m:t>
            </m:r>
          </m:sup>
        </m:sSubSup>
      </m:oMath>
      <w:r w:rsidR="00C973F5" w:rsidRPr="00BA7723">
        <w:rPr>
          <w:iCs/>
          <w:lang w:eastAsia="en-US"/>
        </w:rPr>
        <w:t>,</w:t>
      </w:r>
      <m:oMath>
        <m:sSubSup>
          <m:sSubSupPr>
            <m:ctrlPr>
              <w:rPr>
                <w:rFonts w:ascii="Cambria Math" w:eastAsia="Batang" w:hAnsi="Cambria Math"/>
                <w:i/>
                <w:iCs/>
                <w:lang w:eastAsia="en-US"/>
              </w:rPr>
            </m:ctrlPr>
          </m:sSubSupPr>
          <m:e>
            <m:r>
              <w:rPr>
                <w:rFonts w:ascii="Cambria Math" w:hAnsi="Cambria Math"/>
              </w:rPr>
              <m:t>N</m:t>
            </m:r>
          </m:e>
          <m:sub>
            <m:r>
              <w:rPr>
                <w:rFonts w:ascii="Cambria Math" w:hAnsi="Cambria Math"/>
              </w:rPr>
              <m:t>3</m:t>
            </m:r>
          </m:sub>
          <m:sup>
            <m:r>
              <w:rPr>
                <w:rFonts w:ascii="Cambria Math" w:hAnsi="Cambria Math"/>
              </w:rPr>
              <m:t>'</m:t>
            </m:r>
          </m:sup>
        </m:sSubSup>
      </m:oMath>
      <w:r w:rsidR="00C973F5" w:rsidRPr="00BA7723">
        <w:rPr>
          <w:iCs/>
          <w:lang w:eastAsia="en-US"/>
        </w:rPr>
        <w:t xml:space="preserve"> in UCI Part 1 would be to allow the UE to dynamically select the size of the intermediary basis subset</w:t>
      </w:r>
      <w:r w:rsidR="004E2B3A" w:rsidRPr="00BA7723">
        <w:rPr>
          <w:iCs/>
          <w:lang w:eastAsia="en-US"/>
        </w:rPr>
        <w:t xml:space="preserve"> so as to optimize the SD/FD basis indication overhead dynamically in UCI Part 2. However, the</w:t>
      </w:r>
      <w:r w:rsidR="00B61E24" w:rsidRPr="00BA7723">
        <w:rPr>
          <w:iCs/>
          <w:lang w:eastAsia="en-US"/>
        </w:rPr>
        <w:t xml:space="preserve"> overhead for basis indication is comparably not very large, and it is not clear how much overhead can be conserved with such as scheme. Therefore, this does not warrant dynamic </w:t>
      </w:r>
      <w:r w:rsidR="00685E85" w:rsidRPr="00BA7723">
        <w:rPr>
          <w:iCs/>
          <w:lang w:eastAsia="en-US"/>
        </w:rPr>
        <w:t xml:space="preserve">intermediary subset basis size indication in UCI Part 1 (which due to the </w:t>
      </w:r>
      <w:r w:rsidR="001A2B44" w:rsidRPr="00BA7723">
        <w:rPr>
          <w:iCs/>
          <w:lang w:eastAsia="en-US"/>
        </w:rPr>
        <w:t xml:space="preserve">lower code rate of UCI Part 1 likely does not even bring any overhead reduction in total).  </w:t>
      </w:r>
    </w:p>
    <w:p w14:paraId="1AE976F4" w14:textId="4690A742" w:rsidR="001A2B44" w:rsidRDefault="001A2B44" w:rsidP="001D0B06">
      <w:pPr>
        <w:rPr>
          <w:iCs/>
          <w:lang w:eastAsia="en-US"/>
        </w:rPr>
      </w:pPr>
      <w:r w:rsidRPr="00BA7723">
        <w:t xml:space="preserve">However, </w:t>
      </w:r>
      <w:r w:rsidR="00183859" w:rsidRPr="00BA7723">
        <w:t xml:space="preserve">a </w:t>
      </w:r>
      <w:r w:rsidR="00183859" w:rsidRPr="00BA7723">
        <w:rPr>
          <w:iCs/>
          <w:lang w:eastAsia="en-US"/>
        </w:rPr>
        <w:t>layer-common intermediary basis subset approach can still be considered</w:t>
      </w:r>
      <w:r w:rsidR="00BA7723" w:rsidRPr="00BA7723">
        <w:rPr>
          <w:iCs/>
          <w:lang w:eastAsia="en-US"/>
        </w:rPr>
        <w:t xml:space="preserve"> in UCI design. But in that case, it should be a fixed (predefined or configured) intermediary subset basis size, so that no UCI Part 1 indication is needed. I.e. the intermediary subset can be part of the FD/SD basis indication</w:t>
      </w:r>
      <w:r w:rsidR="00BA7723">
        <w:rPr>
          <w:iCs/>
          <w:lang w:eastAsia="en-US"/>
        </w:rPr>
        <w:t xml:space="preserve"> in UCI Part 2.</w:t>
      </w:r>
    </w:p>
    <w:p w14:paraId="366D5F9A" w14:textId="6B2B926A" w:rsidR="00BA7723" w:rsidRDefault="00500009" w:rsidP="00BA7723">
      <w:pPr>
        <w:pStyle w:val="Proposal"/>
      </w:pPr>
      <w:bookmarkStart w:id="9" w:name="_Toc4771620"/>
      <w:r>
        <w:lastRenderedPageBreak/>
        <w:t xml:space="preserve">Do not support intermediary FD/SD basis subset size indication in UCI Part 1. If intermediary FD/SD basis subset selection is supported, fixed </w:t>
      </w:r>
      <w:r w:rsidR="00B02FF6">
        <w:t>intermediary FD/SD basis subset size is used.</w:t>
      </w:r>
      <w:bookmarkEnd w:id="9"/>
    </w:p>
    <w:p w14:paraId="019CE200" w14:textId="120D2026" w:rsidR="00B02FF6" w:rsidRDefault="00B02FF6" w:rsidP="00B02FF6">
      <w:r>
        <w:t>The second proposed parameter relates to the UE dynamically selecting the size of the FD-basis and reporting this in UCI Part 1</w:t>
      </w:r>
      <w:r w:rsidR="00E60B58">
        <w:t xml:space="preserve">. This means that the UE can determine that only a number M’ FD-basis vectors is needed in order to </w:t>
      </w:r>
      <w:r w:rsidR="00943AC6">
        <w:t xml:space="preserve">describe the channel, which is smaller than the number of configured FD-basis vectors M. </w:t>
      </w:r>
      <w:r w:rsidR="005A2D52">
        <w:t>We not</w:t>
      </w:r>
      <w:r w:rsidR="002B0546">
        <w:t>e</w:t>
      </w:r>
      <w:r w:rsidR="005A2D52">
        <w:t xml:space="preserve"> that this functionality is somewhat overlapping with the indication of the number of non-zero coefficients. I.e. i</w:t>
      </w:r>
      <w:r w:rsidR="00A41763">
        <w:t xml:space="preserve">f only M’ basis vectors are used, the UE can indicate this in UCI Part 2 by setting one or more </w:t>
      </w:r>
      <w:r w:rsidR="00356175">
        <w:t>columns</w:t>
      </w:r>
      <w:r w:rsidR="00A41763">
        <w:t xml:space="preserve"> to zero in the bitmap.</w:t>
      </w:r>
      <w:r w:rsidR="000E1246">
        <w:t xml:space="preserve"> The corresponding coefficients are then not reported </w:t>
      </w:r>
      <w:r w:rsidR="009D7751">
        <w:t>which reduces the overhead with</w:t>
      </w:r>
      <m:oMath>
        <m:r>
          <w:rPr>
            <w:rFonts w:ascii="Cambria Math" w:hAnsi="Cambria Math"/>
          </w:rPr>
          <m:t xml:space="preserve"> 2L× </m:t>
        </m:r>
        <m:d>
          <m:dPr>
            <m:ctrlPr>
              <w:rPr>
                <w:rFonts w:ascii="Cambria Math" w:hAnsi="Cambria Math"/>
                <w:i/>
              </w:rPr>
            </m:ctrlPr>
          </m:dPr>
          <m:e>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e>
        </m:d>
        <m:r>
          <w:rPr>
            <w:rFonts w:ascii="Cambria Math" w:hAnsi="Cambria Math"/>
          </w:rPr>
          <m:t>×6</m:t>
        </m:r>
      </m:oMath>
      <w:r w:rsidR="007D36AD">
        <w:t xml:space="preserve"> bits. If </w:t>
      </w:r>
      <w:r w:rsidR="00374743">
        <w:t>additionally,</w:t>
      </w:r>
      <w:r w:rsidR="007D36AD">
        <w:t xml:space="preserve"> M’ is report</w:t>
      </w:r>
      <w:r w:rsidR="002B0546">
        <w:t>ed</w:t>
      </w:r>
      <w:r w:rsidR="007D36AD">
        <w:t xml:space="preserve"> in UCI Part 1, the bitmap in UCI Part 2 can be reduced in size, but this only saves </w:t>
      </w:r>
      <m:oMath>
        <m:r>
          <w:rPr>
            <w:rFonts w:ascii="Cambria Math" w:hAnsi="Cambria Math"/>
          </w:rPr>
          <m:t xml:space="preserve">2L× </m:t>
        </m:r>
        <m:d>
          <m:dPr>
            <m:ctrlPr>
              <w:rPr>
                <w:rFonts w:ascii="Cambria Math" w:hAnsi="Cambria Math"/>
                <w:i/>
              </w:rPr>
            </m:ctrlPr>
          </m:dPr>
          <m:e>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e>
        </m:d>
      </m:oMath>
      <w:r w:rsidR="00374743">
        <w:t xml:space="preserve"> additional bits</w:t>
      </w:r>
      <w:r w:rsidR="00EA784E">
        <w:t xml:space="preserve">. I.e. 85% of the overhead reduction is already </w:t>
      </w:r>
      <w:r w:rsidR="0054225D">
        <w:t>achieved. It does therefore not seem warranted to have dynamic reporting of M’. If the UE is consistently reporting many zero coefficients for some</w:t>
      </w:r>
      <w:r w:rsidR="00BF4594">
        <w:t xml:space="preserve"> FD-basis vectors, the gNB can reconfigured the CSI Report Setting to smaller M </w:t>
      </w:r>
      <w:r w:rsidR="005C60E0">
        <w:t>value or</w:t>
      </w:r>
      <w:r w:rsidR="00BF4594">
        <w:t xml:space="preserve"> choose to trigger another pre-configured CSI Report Setting with smaller M value.</w:t>
      </w:r>
    </w:p>
    <w:p w14:paraId="756F8927" w14:textId="77777777" w:rsidR="00BF4594" w:rsidRDefault="00BF4594" w:rsidP="00BF4594">
      <w:pPr>
        <w:pStyle w:val="Observation"/>
      </w:pPr>
      <w:bookmarkStart w:id="10" w:name="_Toc4774088"/>
      <w:r>
        <w:t xml:space="preserve">Dynamic reporting of M’&lt;M </w:t>
      </w:r>
      <w:r w:rsidR="004135C4">
        <w:t>is overlapping functionality with the reporting of number of non-zero coefficients</w:t>
      </w:r>
      <w:bookmarkEnd w:id="10"/>
    </w:p>
    <w:p w14:paraId="549897E6" w14:textId="566FBD6A" w:rsidR="004135C4" w:rsidRDefault="004135C4" w:rsidP="004135C4">
      <w:pPr>
        <w:pStyle w:val="Proposal"/>
      </w:pPr>
      <w:bookmarkStart w:id="11" w:name="_Toc4771621"/>
      <w:r>
        <w:t>Do not support reporting of M’&lt;M in UCI Part 1</w:t>
      </w:r>
      <w:bookmarkEnd w:id="11"/>
    </w:p>
    <w:p w14:paraId="4AB7DEB0" w14:textId="02505831" w:rsidR="00935E05" w:rsidRDefault="00935E05" w:rsidP="00935E05">
      <w:r>
        <w:t>Another proposal is to explicitly report the size of the bitmaps in UCI Part 1. This is very related to the previously discussed proposal but generalizes the concept. However, this proposal is incomplete since while the gNB can decode the UCI Part 2 if it knows the size of the bitmaps from decoding UCI Part 1, it does not know how to interpret the bitmaps. I.e. it does not know in which dimension the bitmaps</w:t>
      </w:r>
      <w:r w:rsidR="00CA653B">
        <w:t xml:space="preserve"> were reduced</w:t>
      </w:r>
      <w:r>
        <w:t xml:space="preserve"> </w:t>
      </w:r>
      <w:r w:rsidR="00CA653B">
        <w:t xml:space="preserve">or which bitmap for which layer was re-dimensioned.  Thus, this information needs to be included in UCI Part 2 as well, which implies that for each layer, </w:t>
      </w:r>
      <w:r w:rsidR="00933794">
        <w:t>combinatorial signalling of additional FD and SD intermediary basis subset selection must be introduced. This</w:t>
      </w:r>
      <w:r w:rsidR="00D12F0B">
        <w:t xml:space="preserve"> requires many new UCI Parameters and likely the resulting overhead would be increased rather than reduced.</w:t>
      </w:r>
    </w:p>
    <w:p w14:paraId="51C9ED3E" w14:textId="7BDD3F3E" w:rsidR="00D12F0B" w:rsidRDefault="00D12F0B" w:rsidP="00D12F0B">
      <w:pPr>
        <w:pStyle w:val="Proposal"/>
      </w:pPr>
      <w:bookmarkStart w:id="12" w:name="_Toc4771622"/>
      <w:r>
        <w:t>Do not support reporting the size of the UCI Part 2 bitmaps in UCI Part 1</w:t>
      </w:r>
      <w:bookmarkEnd w:id="12"/>
    </w:p>
    <w:p w14:paraId="209DB302" w14:textId="4A312556" w:rsidR="008B2C63" w:rsidRPr="008B2C63" w:rsidRDefault="00C53D12" w:rsidP="00C53D12">
      <w:pPr>
        <w:pStyle w:val="Heading1"/>
      </w:pPr>
      <w:r w:rsidRPr="00C53D12">
        <w:t>Indication of zero Pol-reference amplitude values</w:t>
      </w:r>
    </w:p>
    <w:p w14:paraId="53E855B6" w14:textId="63C3047C" w:rsidR="008B2C63" w:rsidRDefault="00C53D12" w:rsidP="008B2C63">
      <w:r>
        <w:t>This proposal is unclear to us.</w:t>
      </w:r>
    </w:p>
    <w:p w14:paraId="4B8FE3C9" w14:textId="117C23E3" w:rsidR="00C53D12" w:rsidRDefault="00C53D12" w:rsidP="00C53D12">
      <w:pPr>
        <w:pStyle w:val="Heading1"/>
      </w:pPr>
      <w:r>
        <w:t>Oversampling factors of FD-basis</w:t>
      </w:r>
    </w:p>
    <w:p w14:paraId="627980EC" w14:textId="7FC48884" w:rsidR="00C53D12" w:rsidRDefault="00C53D12" w:rsidP="00C53D12">
      <w:r>
        <w:t>As discussed and concluded</w:t>
      </w:r>
      <w:r w:rsidR="002B0546">
        <w:t xml:space="preserve"> </w:t>
      </w:r>
      <w:r>
        <w:t xml:space="preserve">in our companion contribution on the topic [2], </w:t>
      </w:r>
      <w:r w:rsidR="00E1098B">
        <w:t>it is fundamentally so that oversampling of the FD-basis does not impact the performance, which can be showed quite simply mathematically. Therefore, the rotation/oversampling factors should not be included in the codebook design and hence also not reported in UCI</w:t>
      </w:r>
      <w:r w:rsidR="00595986">
        <w:t>.</w:t>
      </w:r>
    </w:p>
    <w:p w14:paraId="1BDD2C8F" w14:textId="3CDF35A1" w:rsidR="00E1098B" w:rsidRPr="00C53D12" w:rsidRDefault="00E1098B" w:rsidP="00E1098B">
      <w:pPr>
        <w:pStyle w:val="Proposal"/>
      </w:pPr>
      <w:bookmarkStart w:id="13" w:name="_Toc4771623"/>
      <w:r>
        <w:t>Do not support</w:t>
      </w:r>
      <w:r w:rsidR="00595986">
        <w:t xml:space="preserve"> reporting oversampling/rotation factors for FD-basis in UCI</w:t>
      </w:r>
      <w:bookmarkEnd w:id="13"/>
    </w:p>
    <w:p w14:paraId="0EC0E72D" w14:textId="10ABA9E0" w:rsidR="00C22138" w:rsidRDefault="003208C9" w:rsidP="00C22138">
      <w:pPr>
        <w:pStyle w:val="Heading1"/>
        <w:rPr>
          <w:lang w:val="en-US"/>
        </w:rPr>
      </w:pPr>
      <w:r>
        <w:rPr>
          <w:lang w:val="en-US"/>
        </w:rPr>
        <w:t xml:space="preserve">Conclusion </w:t>
      </w:r>
    </w:p>
    <w:p w14:paraId="6A885C0F" w14:textId="77777777" w:rsidR="00155569" w:rsidRDefault="00155569" w:rsidP="00155569">
      <w:r>
        <w:t>Based on the discussion in this contribution we make the following observations:</w:t>
      </w:r>
    </w:p>
    <w:p w14:paraId="4D671BF2" w14:textId="4F72C280" w:rsidR="00665BC9" w:rsidRDefault="00155569">
      <w:pPr>
        <w:pStyle w:val="TOC1"/>
        <w:rPr>
          <w:rFonts w:asciiTheme="minorHAnsi" w:eastAsiaTheme="minorEastAsia" w:hAnsiTheme="minorHAnsi" w:cstheme="minorBidi"/>
          <w:b w:val="0"/>
          <w:sz w:val="22"/>
          <w:lang w:val="sv-SE" w:eastAsia="sv-SE"/>
        </w:rPr>
      </w:pPr>
      <w:r>
        <w:rPr>
          <w:highlight w:val="yellow"/>
        </w:rPr>
        <w:lastRenderedPageBreak/>
        <w:fldChar w:fldCharType="begin"/>
      </w:r>
      <w:r>
        <w:rPr>
          <w:highlight w:val="yellow"/>
        </w:rPr>
        <w:instrText xml:space="preserve"> TOC \n \h \z \t "Observation;1" </w:instrText>
      </w:r>
      <w:r>
        <w:rPr>
          <w:highlight w:val="yellow"/>
        </w:rPr>
        <w:fldChar w:fldCharType="separate"/>
      </w:r>
      <w:hyperlink w:anchor="_Toc4774084" w:history="1">
        <w:r w:rsidR="00665BC9" w:rsidRPr="0018218D">
          <w:rPr>
            <w:rStyle w:val="Hyperlink"/>
            <w:lang w:val="en-US" w:eastAsia="en-US"/>
          </w:rPr>
          <w:t>Observation 1</w:t>
        </w:r>
        <w:r w:rsidR="00665BC9">
          <w:rPr>
            <w:rFonts w:asciiTheme="minorHAnsi" w:eastAsiaTheme="minorEastAsia" w:hAnsiTheme="minorHAnsi" w:cstheme="minorBidi"/>
            <w:b w:val="0"/>
            <w:sz w:val="22"/>
            <w:lang w:val="sv-SE" w:eastAsia="sv-SE"/>
          </w:rPr>
          <w:tab/>
        </w:r>
        <w:r w:rsidR="00665BC9" w:rsidRPr="0018218D">
          <w:rPr>
            <w:rStyle w:val="Hyperlink"/>
            <w:lang w:val="en-US" w:eastAsia="en-US"/>
          </w:rPr>
          <w:t>The encoding of NNZC indicators must be rank-independent as UCI Part 1 payload is fixed</w:t>
        </w:r>
      </w:hyperlink>
    </w:p>
    <w:p w14:paraId="07A7EF4E" w14:textId="0E5B1FA0" w:rsidR="00665BC9" w:rsidRDefault="005A55D7">
      <w:pPr>
        <w:pStyle w:val="TOC1"/>
        <w:rPr>
          <w:rFonts w:asciiTheme="minorHAnsi" w:eastAsiaTheme="minorEastAsia" w:hAnsiTheme="minorHAnsi" w:cstheme="minorBidi"/>
          <w:b w:val="0"/>
          <w:sz w:val="22"/>
          <w:lang w:val="sv-SE" w:eastAsia="sv-SE"/>
        </w:rPr>
      </w:pPr>
      <w:hyperlink w:anchor="_Toc4774085" w:history="1">
        <w:r w:rsidR="00665BC9" w:rsidRPr="0018218D">
          <w:rPr>
            <w:rStyle w:val="Hyperlink"/>
            <w:lang w:val="en-US" w:eastAsia="en-US"/>
          </w:rPr>
          <w:t>Observation 2</w:t>
        </w:r>
        <w:r w:rsidR="00665BC9">
          <w:rPr>
            <w:rFonts w:asciiTheme="minorHAnsi" w:eastAsiaTheme="minorEastAsia" w:hAnsiTheme="minorHAnsi" w:cstheme="minorBidi"/>
            <w:b w:val="0"/>
            <w:sz w:val="22"/>
            <w:lang w:val="sv-SE" w:eastAsia="sv-SE"/>
          </w:rPr>
          <w:tab/>
        </w:r>
        <w:r w:rsidR="00665BC9" w:rsidRPr="0018218D">
          <w:rPr>
            <w:rStyle w:val="Hyperlink"/>
            <w:lang w:val="en-US" w:eastAsia="en-US"/>
          </w:rPr>
          <w:t>For per-layer NNZCI ap</w:t>
        </w:r>
        <w:bookmarkStart w:id="14" w:name="_GoBack"/>
        <w:bookmarkEnd w:id="14"/>
        <w:r w:rsidR="00665BC9" w:rsidRPr="0018218D">
          <w:rPr>
            <w:rStyle w:val="Hyperlink"/>
            <w:lang w:val="en-US" w:eastAsia="en-US"/>
          </w:rPr>
          <w:t>proach, the RI and NNZCIs can be jointly or independently encoded</w:t>
        </w:r>
      </w:hyperlink>
    </w:p>
    <w:p w14:paraId="50943563" w14:textId="18EBBA95" w:rsidR="00665BC9" w:rsidRDefault="005A55D7">
      <w:pPr>
        <w:pStyle w:val="TOC1"/>
        <w:rPr>
          <w:rFonts w:asciiTheme="minorHAnsi" w:eastAsiaTheme="minorEastAsia" w:hAnsiTheme="minorHAnsi" w:cstheme="minorBidi"/>
          <w:b w:val="0"/>
          <w:sz w:val="22"/>
          <w:lang w:val="sv-SE" w:eastAsia="sv-SE"/>
        </w:rPr>
      </w:pPr>
      <w:hyperlink w:anchor="_Toc4774086" w:history="1">
        <w:r w:rsidR="00665BC9" w:rsidRPr="0018218D">
          <w:rPr>
            <w:rStyle w:val="Hyperlink"/>
          </w:rPr>
          <w:t>Observation 3</w:t>
        </w:r>
        <w:r w:rsidR="00665BC9">
          <w:rPr>
            <w:rFonts w:asciiTheme="minorHAnsi" w:eastAsiaTheme="minorEastAsia" w:hAnsiTheme="minorHAnsi" w:cstheme="minorBidi"/>
            <w:b w:val="0"/>
            <w:sz w:val="22"/>
            <w:lang w:val="sv-SE" w:eastAsia="sv-SE"/>
          </w:rPr>
          <w:tab/>
        </w:r>
        <w:r w:rsidR="00665BC9" w:rsidRPr="0018218D">
          <w:rPr>
            <w:rStyle w:val="Hyperlink"/>
          </w:rPr>
          <w:t>Joint number of non-zero coefficient indication across layers can reduce overhead compared to layer-wise non-zero coefficient indication</w:t>
        </w:r>
      </w:hyperlink>
    </w:p>
    <w:p w14:paraId="60D0FDB1" w14:textId="0B5CA951" w:rsidR="00665BC9" w:rsidRDefault="005A55D7">
      <w:pPr>
        <w:pStyle w:val="TOC1"/>
        <w:rPr>
          <w:rFonts w:asciiTheme="minorHAnsi" w:eastAsiaTheme="minorEastAsia" w:hAnsiTheme="minorHAnsi" w:cstheme="minorBidi"/>
          <w:b w:val="0"/>
          <w:sz w:val="22"/>
          <w:lang w:val="sv-SE" w:eastAsia="sv-SE"/>
        </w:rPr>
      </w:pPr>
      <w:hyperlink w:anchor="_Toc4774087" w:history="1">
        <w:r w:rsidR="00665BC9" w:rsidRPr="0018218D">
          <w:rPr>
            <w:rStyle w:val="Hyperlink"/>
          </w:rPr>
          <w:t>Observation 4</w:t>
        </w:r>
        <w:r w:rsidR="00665BC9">
          <w:rPr>
            <w:rFonts w:asciiTheme="minorHAnsi" w:eastAsiaTheme="minorEastAsia" w:hAnsiTheme="minorHAnsi" w:cstheme="minorBidi"/>
            <w:b w:val="0"/>
            <w:sz w:val="22"/>
            <w:lang w:val="sv-SE" w:eastAsia="sv-SE"/>
          </w:rPr>
          <w:tab/>
        </w:r>
        <w:r w:rsidR="00665BC9" w:rsidRPr="0018218D">
          <w:rPr>
            <w:rStyle w:val="Hyperlink"/>
          </w:rPr>
          <w:t>UCI design for SD/FD basis subset indication can be done after rank 3-4 SD/FD basis design is settled</w:t>
        </w:r>
      </w:hyperlink>
    </w:p>
    <w:p w14:paraId="4CA14A43" w14:textId="1064A8BD" w:rsidR="00665BC9" w:rsidRDefault="005A55D7">
      <w:pPr>
        <w:pStyle w:val="TOC1"/>
        <w:rPr>
          <w:rFonts w:asciiTheme="minorHAnsi" w:eastAsiaTheme="minorEastAsia" w:hAnsiTheme="minorHAnsi" w:cstheme="minorBidi"/>
          <w:b w:val="0"/>
          <w:sz w:val="22"/>
          <w:lang w:val="sv-SE" w:eastAsia="sv-SE"/>
        </w:rPr>
      </w:pPr>
      <w:hyperlink w:anchor="_Toc4774088" w:history="1">
        <w:r w:rsidR="00665BC9" w:rsidRPr="0018218D">
          <w:rPr>
            <w:rStyle w:val="Hyperlink"/>
          </w:rPr>
          <w:t>Observation 5</w:t>
        </w:r>
        <w:r w:rsidR="00665BC9">
          <w:rPr>
            <w:rFonts w:asciiTheme="minorHAnsi" w:eastAsiaTheme="minorEastAsia" w:hAnsiTheme="minorHAnsi" w:cstheme="minorBidi"/>
            <w:b w:val="0"/>
            <w:sz w:val="22"/>
            <w:lang w:val="sv-SE" w:eastAsia="sv-SE"/>
          </w:rPr>
          <w:tab/>
        </w:r>
        <w:r w:rsidR="00665BC9" w:rsidRPr="0018218D">
          <w:rPr>
            <w:rStyle w:val="Hyperlink"/>
          </w:rPr>
          <w:t>Dynamic reporting of M’&lt;M is overlapping functionality with the reporting of number of non-zero coefficients</w:t>
        </w:r>
      </w:hyperlink>
    </w:p>
    <w:p w14:paraId="08A83B3E" w14:textId="77713765" w:rsidR="00155569" w:rsidRDefault="00155569" w:rsidP="00155569">
      <w:pPr>
        <w:rPr>
          <w:noProof/>
          <w:szCs w:val="22"/>
          <w:lang w:val="en-US"/>
        </w:rPr>
      </w:pPr>
      <w:r>
        <w:rPr>
          <w:noProof/>
          <w:szCs w:val="22"/>
          <w:highlight w:val="yellow"/>
          <w:lang w:val="en-US"/>
        </w:rPr>
        <w:fldChar w:fldCharType="end"/>
      </w:r>
    </w:p>
    <w:p w14:paraId="50C7F64C" w14:textId="205F7214" w:rsidR="00155569" w:rsidRPr="00155569" w:rsidRDefault="00155569" w:rsidP="00155569">
      <w:pPr>
        <w:rPr>
          <w:noProof/>
          <w:szCs w:val="22"/>
          <w:lang w:val="en-US"/>
        </w:rPr>
      </w:pPr>
      <w:r>
        <w:t>Based on these observations, we propose the following:</w:t>
      </w:r>
    </w:p>
    <w:bookmarkStart w:id="15" w:name="_Hlk533167434"/>
    <w:p w14:paraId="5B216E2A" w14:textId="77777777" w:rsidR="006C2580" w:rsidRDefault="00155569">
      <w:pPr>
        <w:pStyle w:val="TOC1"/>
        <w:rPr>
          <w:rFonts w:asciiTheme="minorHAnsi" w:eastAsiaTheme="minorEastAsia" w:hAnsiTheme="minorHAnsi" w:cstheme="minorBidi"/>
          <w:b w:val="0"/>
          <w:sz w:val="22"/>
          <w:lang w:val="sv-SE" w:eastAsia="sv-SE"/>
        </w:rPr>
      </w:pPr>
      <w:r>
        <w:fldChar w:fldCharType="begin"/>
      </w:r>
      <w:r>
        <w:rPr>
          <w:highlight w:val="yellow"/>
        </w:rPr>
        <w:instrText xml:space="preserve"> TOC \n \h \z \t "Proposal;1" </w:instrText>
      </w:r>
      <w:r>
        <w:fldChar w:fldCharType="separate"/>
      </w:r>
      <w:bookmarkStart w:id="16" w:name="_Hlk4774103"/>
      <w:bookmarkEnd w:id="15"/>
      <w:r w:rsidR="006C2580" w:rsidRPr="003176DA">
        <w:rPr>
          <w:rStyle w:val="Hyperlink"/>
        </w:rPr>
        <w:fldChar w:fldCharType="begin"/>
      </w:r>
      <w:r w:rsidR="006C2580" w:rsidRPr="003176DA">
        <w:rPr>
          <w:rStyle w:val="Hyperlink"/>
        </w:rPr>
        <w:instrText xml:space="preserve"> </w:instrText>
      </w:r>
      <w:r w:rsidR="006C2580">
        <w:instrText>HYPERLINK \l "_Toc4771617"</w:instrText>
      </w:r>
      <w:r w:rsidR="006C2580" w:rsidRPr="003176DA">
        <w:rPr>
          <w:rStyle w:val="Hyperlink"/>
        </w:rPr>
        <w:instrText xml:space="preserve"> </w:instrText>
      </w:r>
      <w:r w:rsidR="006C2580" w:rsidRPr="003176DA">
        <w:rPr>
          <w:rStyle w:val="Hyperlink"/>
        </w:rPr>
        <w:fldChar w:fldCharType="separate"/>
      </w:r>
      <w:r w:rsidR="006C2580" w:rsidRPr="003176DA">
        <w:rPr>
          <w:rStyle w:val="Hyperlink"/>
        </w:rPr>
        <w:t>Proposal 1</w:t>
      </w:r>
      <w:r w:rsidR="006C2580">
        <w:rPr>
          <w:rFonts w:asciiTheme="minorHAnsi" w:eastAsiaTheme="minorEastAsia" w:hAnsiTheme="minorHAnsi" w:cstheme="minorBidi"/>
          <w:b w:val="0"/>
          <w:sz w:val="22"/>
          <w:lang w:val="sv-SE" w:eastAsia="sv-SE"/>
        </w:rPr>
        <w:tab/>
      </w:r>
      <w:r w:rsidR="006C2580" w:rsidRPr="003176DA">
        <w:rPr>
          <w:rStyle w:val="Hyperlink"/>
        </w:rPr>
        <w:t>Support joint number of non-zero coefficient indication across layers and separate RI encoding in UCI Part 1</w:t>
      </w:r>
      <w:r w:rsidR="006C2580" w:rsidRPr="003176DA">
        <w:rPr>
          <w:rStyle w:val="Hyperlink"/>
        </w:rPr>
        <w:fldChar w:fldCharType="end"/>
      </w:r>
    </w:p>
    <w:p w14:paraId="2C8C2118" w14:textId="61214DEA" w:rsidR="006C2580" w:rsidRDefault="005A55D7">
      <w:pPr>
        <w:pStyle w:val="TOC1"/>
        <w:rPr>
          <w:rFonts w:asciiTheme="minorHAnsi" w:eastAsiaTheme="minorEastAsia" w:hAnsiTheme="minorHAnsi" w:cstheme="minorBidi"/>
          <w:b w:val="0"/>
          <w:sz w:val="22"/>
          <w:lang w:val="sv-SE" w:eastAsia="sv-SE"/>
        </w:rPr>
      </w:pPr>
      <w:hyperlink w:anchor="_Toc4771618" w:history="1">
        <w:r w:rsidR="006C2580" w:rsidRPr="003176DA">
          <w:rPr>
            <w:rStyle w:val="Hyperlink"/>
          </w:rPr>
          <w:t>Proposal 2</w:t>
        </w:r>
        <w:r w:rsidR="006C2580">
          <w:rPr>
            <w:rFonts w:asciiTheme="minorHAnsi" w:eastAsiaTheme="minorEastAsia" w:hAnsiTheme="minorHAnsi" w:cstheme="minorBidi"/>
            <w:b w:val="0"/>
            <w:sz w:val="22"/>
            <w:lang w:val="sv-SE" w:eastAsia="sv-SE"/>
          </w:rPr>
          <w:tab/>
        </w:r>
        <w:r w:rsidR="006C2580" w:rsidRPr="003176DA">
          <w:rPr>
            <w:rStyle w:val="Hyperlink"/>
          </w:rPr>
          <w:t xml:space="preserve">The SCI per layer is indicated using </w:t>
        </w:r>
        <w:r w:rsidR="006C2580">
          <w:t xml:space="preserve">using </w:t>
        </w:r>
        <m:oMath>
          <m:d>
            <m:dPr>
              <m:begChr m:val="⌈"/>
              <m:endChr m:val="⌉"/>
              <m:ctrlPr>
                <w:rPr>
                  <w:rFonts w:ascii="Cambria Math" w:hAnsi="Cambria Math"/>
                  <w:i/>
                  <w:szCs w:val="24"/>
                </w:rPr>
              </m:ctrlPr>
            </m:dPr>
            <m:e>
              <m:func>
                <m:funcPr>
                  <m:ctrlPr>
                    <w:rPr>
                      <w:rFonts w:ascii="Cambria Math" w:hAnsi="Cambria Math"/>
                      <w:i/>
                      <w:szCs w:val="24"/>
                    </w:rPr>
                  </m:ctrlPr>
                </m:funcPr>
                <m:fName>
                  <m:sSub>
                    <m:sSubPr>
                      <m:ctrlPr>
                        <w:rPr>
                          <w:rFonts w:ascii="Cambria Math" w:hAnsi="Cambria Math"/>
                          <w:i/>
                          <w:szCs w:val="24"/>
                        </w:rPr>
                      </m:ctrlPr>
                    </m:sSubPr>
                    <m:e>
                      <m:r>
                        <m:rPr>
                          <m:sty m:val="b"/>
                        </m:rPr>
                        <w:rPr>
                          <w:rFonts w:ascii="Cambria Math" w:hAnsi="Cambria Math"/>
                          <w:sz w:val="16"/>
                        </w:rPr>
                        <m:t>log</m:t>
                      </m:r>
                      <m:ctrlPr>
                        <w:rPr>
                          <w:rFonts w:ascii="Cambria Math" w:hAnsi="Cambria Math"/>
                          <w:szCs w:val="24"/>
                        </w:rPr>
                      </m:ctrlPr>
                    </m:e>
                    <m:sub>
                      <m:r>
                        <m:rPr>
                          <m:sty m:val="bi"/>
                        </m:rPr>
                        <w:rPr>
                          <w:rFonts w:ascii="Cambria Math" w:hAnsi="Cambria Math"/>
                          <w:sz w:val="16"/>
                        </w:rPr>
                        <m:t>2</m:t>
                      </m:r>
                      <m:ctrlPr>
                        <w:rPr>
                          <w:rFonts w:ascii="Cambria Math" w:hAnsi="Cambria Math"/>
                          <w:szCs w:val="24"/>
                        </w:rPr>
                      </m:ctrlPr>
                    </m:sub>
                  </m:sSub>
                </m:fName>
                <m:e>
                  <m:sSub>
                    <m:sSubPr>
                      <m:ctrlPr>
                        <w:rPr>
                          <w:rFonts w:ascii="Cambria Math" w:hAnsi="Cambria Math"/>
                          <w:i/>
                          <w:szCs w:val="24"/>
                        </w:rPr>
                      </m:ctrlPr>
                    </m:sSubPr>
                    <m:e>
                      <m:r>
                        <m:rPr>
                          <m:sty m:val="bi"/>
                        </m:rPr>
                        <w:rPr>
                          <w:rFonts w:ascii="Cambria Math" w:hAnsi="Cambria Math"/>
                          <w:szCs w:val="24"/>
                        </w:rPr>
                        <m:t>K</m:t>
                      </m:r>
                    </m:e>
                    <m:sub>
                      <m:r>
                        <m:rPr>
                          <m:sty m:val="bi"/>
                        </m:rPr>
                        <w:rPr>
                          <w:rFonts w:ascii="Cambria Math" w:hAnsi="Cambria Math"/>
                          <w:szCs w:val="24"/>
                        </w:rPr>
                        <m:t>0</m:t>
                      </m:r>
                    </m:sub>
                  </m:sSub>
                </m:e>
              </m:func>
            </m:e>
          </m:d>
        </m:oMath>
        <w:r w:rsidR="006C2580">
          <w:rPr>
            <w:szCs w:val="24"/>
          </w:rPr>
          <w:t xml:space="preserve"> or </w:t>
        </w:r>
        <m:oMath>
          <m:d>
            <m:dPr>
              <m:begChr m:val="⌈"/>
              <m:endChr m:val="⌉"/>
              <m:ctrlPr>
                <w:rPr>
                  <w:rFonts w:ascii="Cambria Math" w:hAnsi="Cambria Math"/>
                  <w:i/>
                  <w:szCs w:val="24"/>
                </w:rPr>
              </m:ctrlPr>
            </m:dPr>
            <m:e>
              <m:func>
                <m:funcPr>
                  <m:ctrlPr>
                    <w:rPr>
                      <w:rFonts w:ascii="Cambria Math" w:hAnsi="Cambria Math"/>
                      <w:i/>
                      <w:szCs w:val="24"/>
                    </w:rPr>
                  </m:ctrlPr>
                </m:funcPr>
                <m:fName>
                  <m:sSub>
                    <m:sSubPr>
                      <m:ctrlPr>
                        <w:rPr>
                          <w:rFonts w:ascii="Cambria Math" w:hAnsi="Cambria Math"/>
                          <w:i/>
                          <w:szCs w:val="24"/>
                        </w:rPr>
                      </m:ctrlPr>
                    </m:sSubPr>
                    <m:e>
                      <m:r>
                        <m:rPr>
                          <m:sty m:val="b"/>
                        </m:rPr>
                        <w:rPr>
                          <w:rFonts w:ascii="Cambria Math" w:hAnsi="Cambria Math"/>
                          <w:sz w:val="16"/>
                        </w:rPr>
                        <m:t>log</m:t>
                      </m:r>
                      <m:ctrlPr>
                        <w:rPr>
                          <w:rFonts w:ascii="Cambria Math" w:hAnsi="Cambria Math"/>
                          <w:szCs w:val="24"/>
                        </w:rPr>
                      </m:ctrlPr>
                    </m:e>
                    <m:sub>
                      <m:r>
                        <m:rPr>
                          <m:sty m:val="bi"/>
                        </m:rPr>
                        <w:rPr>
                          <w:rFonts w:ascii="Cambria Math" w:hAnsi="Cambria Math"/>
                          <w:sz w:val="16"/>
                        </w:rPr>
                        <m:t>2</m:t>
                      </m:r>
                      <m:ctrlPr>
                        <w:rPr>
                          <w:rFonts w:ascii="Cambria Math" w:hAnsi="Cambria Math"/>
                          <w:szCs w:val="24"/>
                        </w:rPr>
                      </m:ctrlPr>
                    </m:sub>
                  </m:sSub>
                </m:fName>
                <m:e>
                  <m:sSub>
                    <m:sSubPr>
                      <m:ctrlPr>
                        <w:rPr>
                          <w:rFonts w:ascii="Cambria Math" w:hAnsi="Cambria Math"/>
                          <w:i/>
                          <w:szCs w:val="24"/>
                        </w:rPr>
                      </m:ctrlPr>
                    </m:sSubPr>
                    <m:e>
                      <m:r>
                        <m:rPr>
                          <m:sty m:val="bi"/>
                        </m:rPr>
                        <w:rPr>
                          <w:rFonts w:ascii="Cambria Math" w:hAnsi="Cambria Math"/>
                          <w:szCs w:val="24"/>
                        </w:rPr>
                        <m:t>K</m:t>
                      </m:r>
                    </m:e>
                    <m:sub>
                      <m:r>
                        <m:rPr>
                          <m:sty m:val="bi"/>
                        </m:rPr>
                        <w:rPr>
                          <w:rFonts w:ascii="Cambria Math" w:hAnsi="Cambria Math"/>
                          <w:szCs w:val="24"/>
                        </w:rPr>
                        <m:t>1</m:t>
                      </m:r>
                    </m:sub>
                  </m:sSub>
                </m:e>
              </m:func>
            </m:e>
          </m:d>
          <m:r>
            <m:rPr>
              <m:sty m:val="bi"/>
            </m:rPr>
            <w:rPr>
              <w:rFonts w:ascii="Cambria Math" w:hAnsi="Cambria Math"/>
              <w:szCs w:val="24"/>
            </w:rPr>
            <m:t xml:space="preserve"> </m:t>
          </m:r>
        </m:oMath>
        <w:r w:rsidR="006C2580" w:rsidRPr="003176DA">
          <w:rPr>
            <w:rStyle w:val="Hyperlink"/>
          </w:rPr>
          <w:t>bits, depending on the outcome of other UCI design aspects</w:t>
        </w:r>
      </w:hyperlink>
    </w:p>
    <w:p w14:paraId="16DE5569" w14:textId="77777777" w:rsidR="006C2580" w:rsidRDefault="005A55D7">
      <w:pPr>
        <w:pStyle w:val="TOC1"/>
        <w:rPr>
          <w:rFonts w:asciiTheme="minorHAnsi" w:eastAsiaTheme="minorEastAsia" w:hAnsiTheme="minorHAnsi" w:cstheme="minorBidi"/>
          <w:b w:val="0"/>
          <w:sz w:val="22"/>
          <w:lang w:val="sv-SE" w:eastAsia="sv-SE"/>
        </w:rPr>
      </w:pPr>
      <w:hyperlink w:anchor="_Toc4771619" w:history="1">
        <w:r w:rsidR="006C2580" w:rsidRPr="003176DA">
          <w:rPr>
            <w:rStyle w:val="Hyperlink"/>
          </w:rPr>
          <w:t>Proposal 3</w:t>
        </w:r>
        <w:r w:rsidR="006C2580">
          <w:rPr>
            <w:rFonts w:asciiTheme="minorHAnsi" w:eastAsiaTheme="minorEastAsia" w:hAnsiTheme="minorHAnsi" w:cstheme="minorBidi"/>
            <w:b w:val="0"/>
            <w:sz w:val="22"/>
            <w:lang w:val="sv-SE" w:eastAsia="sv-SE"/>
          </w:rPr>
          <w:tab/>
        </w:r>
        <w:r w:rsidR="006C2580" w:rsidRPr="003176DA">
          <w:rPr>
            <w:rStyle w:val="Hyperlink"/>
          </w:rPr>
          <w:t>FD-basis CBSR, if supported, does not impact UCI design or bitwidth of UCI parameters</w:t>
        </w:r>
      </w:hyperlink>
    </w:p>
    <w:p w14:paraId="6A7F5FC1" w14:textId="77777777" w:rsidR="006C2580" w:rsidRDefault="005A55D7">
      <w:pPr>
        <w:pStyle w:val="TOC1"/>
        <w:rPr>
          <w:rFonts w:asciiTheme="minorHAnsi" w:eastAsiaTheme="minorEastAsia" w:hAnsiTheme="minorHAnsi" w:cstheme="minorBidi"/>
          <w:b w:val="0"/>
          <w:sz w:val="22"/>
          <w:lang w:val="sv-SE" w:eastAsia="sv-SE"/>
        </w:rPr>
      </w:pPr>
      <w:hyperlink w:anchor="_Toc4771620" w:history="1">
        <w:r w:rsidR="006C2580" w:rsidRPr="003176DA">
          <w:rPr>
            <w:rStyle w:val="Hyperlink"/>
          </w:rPr>
          <w:t>Proposal 4</w:t>
        </w:r>
        <w:r w:rsidR="006C2580">
          <w:rPr>
            <w:rFonts w:asciiTheme="minorHAnsi" w:eastAsiaTheme="minorEastAsia" w:hAnsiTheme="minorHAnsi" w:cstheme="minorBidi"/>
            <w:b w:val="0"/>
            <w:sz w:val="22"/>
            <w:lang w:val="sv-SE" w:eastAsia="sv-SE"/>
          </w:rPr>
          <w:tab/>
        </w:r>
        <w:r w:rsidR="006C2580" w:rsidRPr="003176DA">
          <w:rPr>
            <w:rStyle w:val="Hyperlink"/>
          </w:rPr>
          <w:t>Do not support intermediary FD/SD basis subset size indication in UCI Part 1. If intermediary FD/SD basis subset selection is supported, fixed intermediary FD/SD basis subset size is used.</w:t>
        </w:r>
      </w:hyperlink>
    </w:p>
    <w:p w14:paraId="33895B50" w14:textId="77777777" w:rsidR="006C2580" w:rsidRDefault="005A55D7">
      <w:pPr>
        <w:pStyle w:val="TOC1"/>
        <w:rPr>
          <w:rFonts w:asciiTheme="minorHAnsi" w:eastAsiaTheme="minorEastAsia" w:hAnsiTheme="minorHAnsi" w:cstheme="minorBidi"/>
          <w:b w:val="0"/>
          <w:sz w:val="22"/>
          <w:lang w:val="sv-SE" w:eastAsia="sv-SE"/>
        </w:rPr>
      </w:pPr>
      <w:hyperlink w:anchor="_Toc4771621" w:history="1">
        <w:r w:rsidR="006C2580" w:rsidRPr="003176DA">
          <w:rPr>
            <w:rStyle w:val="Hyperlink"/>
          </w:rPr>
          <w:t>Proposal 5</w:t>
        </w:r>
        <w:r w:rsidR="006C2580">
          <w:rPr>
            <w:rFonts w:asciiTheme="minorHAnsi" w:eastAsiaTheme="minorEastAsia" w:hAnsiTheme="minorHAnsi" w:cstheme="minorBidi"/>
            <w:b w:val="0"/>
            <w:sz w:val="22"/>
            <w:lang w:val="sv-SE" w:eastAsia="sv-SE"/>
          </w:rPr>
          <w:tab/>
        </w:r>
        <w:r w:rsidR="006C2580" w:rsidRPr="003176DA">
          <w:rPr>
            <w:rStyle w:val="Hyperlink"/>
          </w:rPr>
          <w:t>Do not support reporting of M’&lt;M in UCI Part 1</w:t>
        </w:r>
      </w:hyperlink>
    </w:p>
    <w:p w14:paraId="3780CAA1" w14:textId="77777777" w:rsidR="006C2580" w:rsidRDefault="005A55D7">
      <w:pPr>
        <w:pStyle w:val="TOC1"/>
        <w:rPr>
          <w:rFonts w:asciiTheme="minorHAnsi" w:eastAsiaTheme="minorEastAsia" w:hAnsiTheme="minorHAnsi" w:cstheme="minorBidi"/>
          <w:b w:val="0"/>
          <w:sz w:val="22"/>
          <w:lang w:val="sv-SE" w:eastAsia="sv-SE"/>
        </w:rPr>
      </w:pPr>
      <w:hyperlink w:anchor="_Toc4771622" w:history="1">
        <w:r w:rsidR="006C2580" w:rsidRPr="003176DA">
          <w:rPr>
            <w:rStyle w:val="Hyperlink"/>
          </w:rPr>
          <w:t>Proposal 6</w:t>
        </w:r>
        <w:r w:rsidR="006C2580">
          <w:rPr>
            <w:rFonts w:asciiTheme="minorHAnsi" w:eastAsiaTheme="minorEastAsia" w:hAnsiTheme="minorHAnsi" w:cstheme="minorBidi"/>
            <w:b w:val="0"/>
            <w:sz w:val="22"/>
            <w:lang w:val="sv-SE" w:eastAsia="sv-SE"/>
          </w:rPr>
          <w:tab/>
        </w:r>
        <w:r w:rsidR="006C2580" w:rsidRPr="003176DA">
          <w:rPr>
            <w:rStyle w:val="Hyperlink"/>
          </w:rPr>
          <w:t>Do not support reporting the size of the UCI Part 2 bitmaps in UCI Part 1</w:t>
        </w:r>
      </w:hyperlink>
    </w:p>
    <w:p w14:paraId="62EA4FAA" w14:textId="77777777" w:rsidR="006C2580" w:rsidRDefault="005A55D7">
      <w:pPr>
        <w:pStyle w:val="TOC1"/>
        <w:rPr>
          <w:rFonts w:asciiTheme="minorHAnsi" w:eastAsiaTheme="minorEastAsia" w:hAnsiTheme="minorHAnsi" w:cstheme="minorBidi"/>
          <w:b w:val="0"/>
          <w:sz w:val="22"/>
          <w:lang w:val="sv-SE" w:eastAsia="sv-SE"/>
        </w:rPr>
      </w:pPr>
      <w:hyperlink w:anchor="_Toc4771623" w:history="1">
        <w:r w:rsidR="006C2580" w:rsidRPr="003176DA">
          <w:rPr>
            <w:rStyle w:val="Hyperlink"/>
          </w:rPr>
          <w:t>Proposal 7</w:t>
        </w:r>
        <w:r w:rsidR="006C2580">
          <w:rPr>
            <w:rFonts w:asciiTheme="minorHAnsi" w:eastAsiaTheme="minorEastAsia" w:hAnsiTheme="minorHAnsi" w:cstheme="minorBidi"/>
            <w:b w:val="0"/>
            <w:sz w:val="22"/>
            <w:lang w:val="sv-SE" w:eastAsia="sv-SE"/>
          </w:rPr>
          <w:tab/>
        </w:r>
        <w:r w:rsidR="006C2580" w:rsidRPr="003176DA">
          <w:rPr>
            <w:rStyle w:val="Hyperlink"/>
          </w:rPr>
          <w:t>Do not support reporting oversampling/rotation factors for FD-basis in UCI</w:t>
        </w:r>
      </w:hyperlink>
    </w:p>
    <w:bookmarkEnd w:id="16"/>
    <w:p w14:paraId="5BD6CC82" w14:textId="53A77ADE" w:rsidR="0099683A" w:rsidRDefault="00155569" w:rsidP="00155569">
      <w:pPr>
        <w:rPr>
          <w:highlight w:val="yellow"/>
        </w:rPr>
      </w:pPr>
      <w:r>
        <w:rPr>
          <w:highlight w:val="yellow"/>
        </w:rPr>
        <w:fldChar w:fldCharType="end"/>
      </w:r>
    </w:p>
    <w:p w14:paraId="7EEE974F" w14:textId="222FA40B" w:rsidR="000D32A3" w:rsidRDefault="000D32A3" w:rsidP="00155569">
      <w:pPr>
        <w:rPr>
          <w:lang w:val="en-US"/>
        </w:rPr>
      </w:pPr>
    </w:p>
    <w:p w14:paraId="10BA1575" w14:textId="77777777" w:rsidR="000D32A3" w:rsidRDefault="000D32A3" w:rsidP="000D32A3">
      <w:pPr>
        <w:rPr>
          <w:lang w:val="en-US"/>
        </w:rPr>
      </w:pPr>
    </w:p>
    <w:p w14:paraId="4DD5E0EA" w14:textId="77777777" w:rsidR="000D32A3" w:rsidRDefault="000D32A3" w:rsidP="000D32A3">
      <w:pPr>
        <w:pStyle w:val="Heading1"/>
      </w:pPr>
      <w:r>
        <w:t>References</w:t>
      </w:r>
    </w:p>
    <w:p w14:paraId="174D3357" w14:textId="77777777" w:rsidR="00C53D12" w:rsidRDefault="00C53D12" w:rsidP="00C53D12">
      <w:pPr>
        <w:pStyle w:val="Reference"/>
        <w:numPr>
          <w:ilvl w:val="0"/>
          <w:numId w:val="48"/>
        </w:numPr>
        <w:textAlignment w:val="auto"/>
      </w:pPr>
      <w:bookmarkStart w:id="17" w:name="_Ref4744745"/>
      <w:bookmarkStart w:id="18" w:name="_Ref4744750"/>
      <w:r>
        <w:t>R1-1905111 “On CBSR for Type II CSI enhancements”, Ericsson, 3GPP TSG RAN WG1 Meeting RAN1#96-bis, Xi’an, China, April 8th – 12th, 2019</w:t>
      </w:r>
      <w:bookmarkEnd w:id="17"/>
    </w:p>
    <w:p w14:paraId="02DABE12" w14:textId="77777777" w:rsidR="000D32A3" w:rsidRDefault="000D32A3" w:rsidP="000D32A3">
      <w:pPr>
        <w:pStyle w:val="Reference"/>
        <w:numPr>
          <w:ilvl w:val="0"/>
          <w:numId w:val="48"/>
        </w:numPr>
        <w:textAlignment w:val="auto"/>
      </w:pPr>
      <w:r>
        <w:t>R1-1905115, “On the necessity of feeding back oversampling index for Type II CSI enhancements”, Ericsson, 3GPP TSG RAN WG1 Meeting RAN1#96-bis, Xi’an, China, April 8th – 12th, 2019</w:t>
      </w:r>
      <w:bookmarkEnd w:id="18"/>
    </w:p>
    <w:p w14:paraId="18B4F4AB" w14:textId="77777777" w:rsidR="000D32A3" w:rsidRPr="000D32A3" w:rsidRDefault="000D32A3" w:rsidP="00155569"/>
    <w:p w14:paraId="4F34FAFD" w14:textId="52D88703" w:rsidR="005704AC" w:rsidRPr="002D7B37" w:rsidRDefault="005704AC" w:rsidP="005336DB">
      <w:pPr>
        <w:rPr>
          <w:lang w:val="en-US"/>
        </w:rPr>
      </w:pPr>
    </w:p>
    <w:sectPr w:rsidR="005704AC" w:rsidRPr="002D7B37" w:rsidSect="00C02A4C">
      <w:headerReference w:type="even" r:id="rId17"/>
      <w:footerReference w:type="defaul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48B2E" w14:textId="77777777" w:rsidR="005A55D7" w:rsidRDefault="005A55D7">
      <w:r>
        <w:separator/>
      </w:r>
    </w:p>
  </w:endnote>
  <w:endnote w:type="continuationSeparator" w:id="0">
    <w:p w14:paraId="74058472" w14:textId="77777777" w:rsidR="005A55D7" w:rsidRDefault="005A55D7">
      <w:r>
        <w:continuationSeparator/>
      </w:r>
    </w:p>
  </w:endnote>
  <w:endnote w:type="continuationNotice" w:id="1">
    <w:p w14:paraId="0EABD59B" w14:textId="77777777" w:rsidR="005A55D7" w:rsidRDefault="005A55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E41ECE" w:rsidRDefault="00E41E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B5141" w14:textId="77777777" w:rsidR="005A55D7" w:rsidRDefault="005A55D7">
      <w:r>
        <w:separator/>
      </w:r>
    </w:p>
  </w:footnote>
  <w:footnote w:type="continuationSeparator" w:id="0">
    <w:p w14:paraId="7D071DFB" w14:textId="77777777" w:rsidR="005A55D7" w:rsidRDefault="005A55D7">
      <w:r>
        <w:continuationSeparator/>
      </w:r>
    </w:p>
  </w:footnote>
  <w:footnote w:type="continuationNotice" w:id="1">
    <w:p w14:paraId="0CC8C15B" w14:textId="77777777" w:rsidR="005A55D7" w:rsidRDefault="005A55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E41ECE" w:rsidRDefault="00E41EC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start w:val="1"/>
      <w:numFmt w:val="bullet"/>
      <w:lvlText w:val=""/>
      <w:lvlJc w:val="left"/>
      <w:pPr>
        <w:ind w:left="2257" w:hanging="360"/>
      </w:pPr>
      <w:rPr>
        <w:rFonts w:ascii="Wingdings" w:hAnsi="Wingdings" w:hint="default"/>
      </w:rPr>
    </w:lvl>
    <w:lvl w:ilvl="3" w:tplc="04090001">
      <w:start w:val="1"/>
      <w:numFmt w:val="bullet"/>
      <w:lvlText w:val=""/>
      <w:lvlJc w:val="left"/>
      <w:pPr>
        <w:ind w:left="2977" w:hanging="360"/>
      </w:pPr>
      <w:rPr>
        <w:rFonts w:ascii="Symbol" w:hAnsi="Symbol" w:hint="default"/>
      </w:rPr>
    </w:lvl>
    <w:lvl w:ilvl="4" w:tplc="04090003">
      <w:start w:val="1"/>
      <w:numFmt w:val="bullet"/>
      <w:lvlText w:val="o"/>
      <w:lvlJc w:val="left"/>
      <w:pPr>
        <w:ind w:left="3697" w:hanging="360"/>
      </w:pPr>
      <w:rPr>
        <w:rFonts w:ascii="Courier New" w:hAnsi="Courier New" w:cs="Courier New" w:hint="default"/>
      </w:rPr>
    </w:lvl>
    <w:lvl w:ilvl="5" w:tplc="04090005">
      <w:start w:val="1"/>
      <w:numFmt w:val="bullet"/>
      <w:lvlText w:val=""/>
      <w:lvlJc w:val="left"/>
      <w:pPr>
        <w:ind w:left="4417" w:hanging="360"/>
      </w:pPr>
      <w:rPr>
        <w:rFonts w:ascii="Wingdings" w:hAnsi="Wingdings" w:hint="default"/>
      </w:rPr>
    </w:lvl>
    <w:lvl w:ilvl="6" w:tplc="04090001">
      <w:start w:val="1"/>
      <w:numFmt w:val="bullet"/>
      <w:lvlText w:val=""/>
      <w:lvlJc w:val="left"/>
      <w:pPr>
        <w:ind w:left="5137" w:hanging="360"/>
      </w:pPr>
      <w:rPr>
        <w:rFonts w:ascii="Symbol" w:hAnsi="Symbol" w:hint="default"/>
      </w:rPr>
    </w:lvl>
    <w:lvl w:ilvl="7" w:tplc="04090003">
      <w:start w:val="1"/>
      <w:numFmt w:val="bullet"/>
      <w:lvlText w:val="o"/>
      <w:lvlJc w:val="left"/>
      <w:pPr>
        <w:ind w:left="5857" w:hanging="360"/>
      </w:pPr>
      <w:rPr>
        <w:rFonts w:ascii="Courier New" w:hAnsi="Courier New" w:cs="Courier New" w:hint="default"/>
      </w:rPr>
    </w:lvl>
    <w:lvl w:ilvl="8" w:tplc="04090005">
      <w:start w:val="1"/>
      <w:numFmt w:val="bullet"/>
      <w:lvlText w:val=""/>
      <w:lvlJc w:val="left"/>
      <w:pPr>
        <w:ind w:left="6577" w:hanging="360"/>
      </w:pPr>
      <w:rPr>
        <w:rFonts w:ascii="Wingdings" w:hAnsi="Wingdings" w:hint="default"/>
      </w:rPr>
    </w:lvl>
  </w:abstractNum>
  <w:abstractNum w:abstractNumId="3" w15:restartNumberingAfterBreak="0">
    <w:nsid w:val="0C9B459C"/>
    <w:multiLevelType w:val="hybridMultilevel"/>
    <w:tmpl w:val="09BCDE80"/>
    <w:lvl w:ilvl="0" w:tplc="F6DE3358">
      <w:numFmt w:val="bullet"/>
      <w:lvlText w:val="-"/>
      <w:lvlJc w:val="left"/>
      <w:pPr>
        <w:ind w:left="2160" w:hanging="360"/>
      </w:pPr>
      <w:rPr>
        <w:rFonts w:ascii="Times New Roman" w:eastAsia="MS Mincho"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FF3E56"/>
    <w:multiLevelType w:val="hybridMultilevel"/>
    <w:tmpl w:val="71BA7C06"/>
    <w:lvl w:ilvl="0" w:tplc="48CE779E">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2F573FA"/>
    <w:multiLevelType w:val="hybridMultilevel"/>
    <w:tmpl w:val="2FE822D2"/>
    <w:lvl w:ilvl="0" w:tplc="041D0001">
      <w:start w:val="1"/>
      <w:numFmt w:val="bullet"/>
      <w:lvlText w:val=""/>
      <w:lvlJc w:val="left"/>
      <w:pPr>
        <w:tabs>
          <w:tab w:val="num" w:pos="2438"/>
        </w:tabs>
        <w:ind w:left="2438" w:hanging="1304"/>
      </w:pPr>
      <w:rPr>
        <w:rFonts w:ascii="Symbol" w:hAnsi="Symbol" w:hint="default"/>
        <w:sz w:val="20"/>
        <w:szCs w:val="20"/>
      </w:rPr>
    </w:lvl>
    <w:lvl w:ilvl="1" w:tplc="04090001">
      <w:start w:val="1"/>
      <w:numFmt w:val="bullet"/>
      <w:lvlText w:val=""/>
      <w:lvlJc w:val="left"/>
      <w:pPr>
        <w:tabs>
          <w:tab w:val="num" w:pos="2574"/>
        </w:tabs>
        <w:ind w:left="2574" w:hanging="360"/>
      </w:pPr>
      <w:rPr>
        <w:rFonts w:ascii="Symbol" w:hAnsi="Symbol" w:hint="default"/>
      </w:r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7" w15:restartNumberingAfterBreak="0">
    <w:nsid w:val="147D385F"/>
    <w:multiLevelType w:val="hybridMultilevel"/>
    <w:tmpl w:val="BAD4CE9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AB1A05"/>
    <w:multiLevelType w:val="hybridMultilevel"/>
    <w:tmpl w:val="70E69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9708D7"/>
    <w:multiLevelType w:val="hybridMultilevel"/>
    <w:tmpl w:val="6EC26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2D34A5"/>
    <w:multiLevelType w:val="hybridMultilevel"/>
    <w:tmpl w:val="B838AD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F5A43BE"/>
    <w:multiLevelType w:val="hybridMultilevel"/>
    <w:tmpl w:val="6D5E4A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0B1359"/>
    <w:multiLevelType w:val="multilevel"/>
    <w:tmpl w:val="320B13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A73F03"/>
    <w:multiLevelType w:val="hybridMultilevel"/>
    <w:tmpl w:val="18F2755C"/>
    <w:lvl w:ilvl="0" w:tplc="F6DE3358">
      <w:numFmt w:val="bullet"/>
      <w:lvlText w:val="-"/>
      <w:lvlJc w:val="left"/>
      <w:pPr>
        <w:ind w:left="2160" w:hanging="360"/>
      </w:pPr>
      <w:rPr>
        <w:rFonts w:ascii="Times New Roman" w:eastAsia="MS Mincho"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F6DE3358">
      <w:numFmt w:val="bullet"/>
      <w:lvlText w:val="-"/>
      <w:lvlJc w:val="left"/>
      <w:pPr>
        <w:ind w:left="3600" w:hanging="360"/>
      </w:pPr>
      <w:rPr>
        <w:rFonts w:ascii="Times New Roman" w:eastAsia="MS Mincho" w:hAnsi="Times New Roman" w:cs="Times New Roman"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6" w15:restartNumberingAfterBreak="0">
    <w:nsid w:val="34CD6155"/>
    <w:multiLevelType w:val="hybridMultilevel"/>
    <w:tmpl w:val="7C068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E570B0B8"/>
    <w:lvl w:ilvl="0" w:tplc="C200F7CC">
      <w:start w:val="1"/>
      <w:numFmt w:val="decimal"/>
      <w:pStyle w:val="Proposal"/>
      <w:lvlText w:val="Proposal %1"/>
      <w:lvlJc w:val="left"/>
      <w:pPr>
        <w:tabs>
          <w:tab w:val="num" w:pos="1304"/>
        </w:tabs>
        <w:ind w:left="1304" w:hanging="1304"/>
      </w:pPr>
      <w:rPr>
        <w:rFonts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696D4D"/>
    <w:multiLevelType w:val="hybridMultilevel"/>
    <w:tmpl w:val="7690F9B8"/>
    <w:lvl w:ilvl="0" w:tplc="04090003">
      <w:start w:val="1"/>
      <w:numFmt w:val="bullet"/>
      <w:lvlText w:val="o"/>
      <w:lvlJc w:val="left"/>
      <w:pPr>
        <w:ind w:left="1494" w:hanging="360"/>
      </w:pPr>
      <w:rPr>
        <w:rFonts w:ascii="Courier New" w:hAnsi="Courier New" w:cs="Courier New"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1F81656"/>
    <w:multiLevelType w:val="hybridMultilevel"/>
    <w:tmpl w:val="0B8C460C"/>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start w:val="1"/>
      <w:numFmt w:val="bullet"/>
      <w:lvlText w:val=""/>
      <w:lvlJc w:val="left"/>
      <w:pPr>
        <w:ind w:left="2257" w:hanging="360"/>
      </w:pPr>
      <w:rPr>
        <w:rFonts w:ascii="Wingdings" w:hAnsi="Wingdings" w:hint="default"/>
      </w:rPr>
    </w:lvl>
    <w:lvl w:ilvl="3" w:tplc="04090001">
      <w:start w:val="1"/>
      <w:numFmt w:val="bullet"/>
      <w:lvlText w:val=""/>
      <w:lvlJc w:val="left"/>
      <w:pPr>
        <w:ind w:left="2977" w:hanging="360"/>
      </w:pPr>
      <w:rPr>
        <w:rFonts w:ascii="Symbol" w:hAnsi="Symbol" w:hint="default"/>
      </w:rPr>
    </w:lvl>
    <w:lvl w:ilvl="4" w:tplc="04090003">
      <w:start w:val="1"/>
      <w:numFmt w:val="bullet"/>
      <w:lvlText w:val="o"/>
      <w:lvlJc w:val="left"/>
      <w:pPr>
        <w:ind w:left="3697" w:hanging="360"/>
      </w:pPr>
      <w:rPr>
        <w:rFonts w:ascii="Courier New" w:hAnsi="Courier New" w:cs="Courier New" w:hint="default"/>
      </w:rPr>
    </w:lvl>
    <w:lvl w:ilvl="5" w:tplc="04090005">
      <w:start w:val="1"/>
      <w:numFmt w:val="bullet"/>
      <w:lvlText w:val=""/>
      <w:lvlJc w:val="left"/>
      <w:pPr>
        <w:ind w:left="4417" w:hanging="360"/>
      </w:pPr>
      <w:rPr>
        <w:rFonts w:ascii="Wingdings" w:hAnsi="Wingdings" w:hint="default"/>
      </w:rPr>
    </w:lvl>
    <w:lvl w:ilvl="6" w:tplc="04090001">
      <w:start w:val="1"/>
      <w:numFmt w:val="bullet"/>
      <w:lvlText w:val=""/>
      <w:lvlJc w:val="left"/>
      <w:pPr>
        <w:ind w:left="5137" w:hanging="360"/>
      </w:pPr>
      <w:rPr>
        <w:rFonts w:ascii="Symbol" w:hAnsi="Symbol" w:hint="default"/>
      </w:rPr>
    </w:lvl>
    <w:lvl w:ilvl="7" w:tplc="04090003">
      <w:start w:val="1"/>
      <w:numFmt w:val="bullet"/>
      <w:lvlText w:val="o"/>
      <w:lvlJc w:val="left"/>
      <w:pPr>
        <w:ind w:left="5857" w:hanging="360"/>
      </w:pPr>
      <w:rPr>
        <w:rFonts w:ascii="Courier New" w:hAnsi="Courier New" w:cs="Courier New" w:hint="default"/>
      </w:rPr>
    </w:lvl>
    <w:lvl w:ilvl="8" w:tplc="04090005">
      <w:start w:val="1"/>
      <w:numFmt w:val="bullet"/>
      <w:lvlText w:val=""/>
      <w:lvlJc w:val="left"/>
      <w:pPr>
        <w:ind w:left="6577"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9" w15:restartNumberingAfterBreak="0">
    <w:nsid w:val="57A05F22"/>
    <w:multiLevelType w:val="hybridMultilevel"/>
    <w:tmpl w:val="83666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64B105D"/>
    <w:multiLevelType w:val="hybridMultilevel"/>
    <w:tmpl w:val="EE04C06E"/>
    <w:lvl w:ilvl="0" w:tplc="C618314E">
      <w:start w:val="1"/>
      <w:numFmt w:val="bullet"/>
      <w:lvlText w:val="—"/>
      <w:lvlJc w:val="left"/>
      <w:pPr>
        <w:tabs>
          <w:tab w:val="num" w:pos="720"/>
        </w:tabs>
        <w:ind w:left="720" w:hanging="360"/>
      </w:pPr>
      <w:rPr>
        <w:rFonts w:ascii="Ericsson Hilda Light" w:hAnsi="Ericsson Hilda Light" w:hint="default"/>
      </w:rPr>
    </w:lvl>
    <w:lvl w:ilvl="1" w:tplc="FB4C515A">
      <w:start w:val="142"/>
      <w:numFmt w:val="bullet"/>
      <w:lvlText w:val="—"/>
      <w:lvlJc w:val="left"/>
      <w:pPr>
        <w:tabs>
          <w:tab w:val="num" w:pos="1440"/>
        </w:tabs>
        <w:ind w:left="1440" w:hanging="360"/>
      </w:pPr>
      <w:rPr>
        <w:rFonts w:ascii="Ericsson Hilda Light" w:hAnsi="Ericsson Hilda Light" w:hint="default"/>
      </w:rPr>
    </w:lvl>
    <w:lvl w:ilvl="2" w:tplc="396E8DB4" w:tentative="1">
      <w:start w:val="1"/>
      <w:numFmt w:val="bullet"/>
      <w:lvlText w:val="—"/>
      <w:lvlJc w:val="left"/>
      <w:pPr>
        <w:tabs>
          <w:tab w:val="num" w:pos="2160"/>
        </w:tabs>
        <w:ind w:left="2160" w:hanging="360"/>
      </w:pPr>
      <w:rPr>
        <w:rFonts w:ascii="Ericsson Hilda Light" w:hAnsi="Ericsson Hilda Light" w:hint="default"/>
      </w:rPr>
    </w:lvl>
    <w:lvl w:ilvl="3" w:tplc="A24000C8" w:tentative="1">
      <w:start w:val="1"/>
      <w:numFmt w:val="bullet"/>
      <w:lvlText w:val="—"/>
      <w:lvlJc w:val="left"/>
      <w:pPr>
        <w:tabs>
          <w:tab w:val="num" w:pos="2880"/>
        </w:tabs>
        <w:ind w:left="2880" w:hanging="360"/>
      </w:pPr>
      <w:rPr>
        <w:rFonts w:ascii="Ericsson Hilda Light" w:hAnsi="Ericsson Hilda Light" w:hint="default"/>
      </w:rPr>
    </w:lvl>
    <w:lvl w:ilvl="4" w:tplc="33F46CA0" w:tentative="1">
      <w:start w:val="1"/>
      <w:numFmt w:val="bullet"/>
      <w:lvlText w:val="—"/>
      <w:lvlJc w:val="left"/>
      <w:pPr>
        <w:tabs>
          <w:tab w:val="num" w:pos="3600"/>
        </w:tabs>
        <w:ind w:left="3600" w:hanging="360"/>
      </w:pPr>
      <w:rPr>
        <w:rFonts w:ascii="Ericsson Hilda Light" w:hAnsi="Ericsson Hilda Light" w:hint="default"/>
      </w:rPr>
    </w:lvl>
    <w:lvl w:ilvl="5" w:tplc="9CA6033E" w:tentative="1">
      <w:start w:val="1"/>
      <w:numFmt w:val="bullet"/>
      <w:lvlText w:val="—"/>
      <w:lvlJc w:val="left"/>
      <w:pPr>
        <w:tabs>
          <w:tab w:val="num" w:pos="4320"/>
        </w:tabs>
        <w:ind w:left="4320" w:hanging="360"/>
      </w:pPr>
      <w:rPr>
        <w:rFonts w:ascii="Ericsson Hilda Light" w:hAnsi="Ericsson Hilda Light" w:hint="default"/>
      </w:rPr>
    </w:lvl>
    <w:lvl w:ilvl="6" w:tplc="E1C61E5A" w:tentative="1">
      <w:start w:val="1"/>
      <w:numFmt w:val="bullet"/>
      <w:lvlText w:val="—"/>
      <w:lvlJc w:val="left"/>
      <w:pPr>
        <w:tabs>
          <w:tab w:val="num" w:pos="5040"/>
        </w:tabs>
        <w:ind w:left="5040" w:hanging="360"/>
      </w:pPr>
      <w:rPr>
        <w:rFonts w:ascii="Ericsson Hilda Light" w:hAnsi="Ericsson Hilda Light" w:hint="default"/>
      </w:rPr>
    </w:lvl>
    <w:lvl w:ilvl="7" w:tplc="CEA8A49A" w:tentative="1">
      <w:start w:val="1"/>
      <w:numFmt w:val="bullet"/>
      <w:lvlText w:val="—"/>
      <w:lvlJc w:val="left"/>
      <w:pPr>
        <w:tabs>
          <w:tab w:val="num" w:pos="5760"/>
        </w:tabs>
        <w:ind w:left="5760" w:hanging="360"/>
      </w:pPr>
      <w:rPr>
        <w:rFonts w:ascii="Ericsson Hilda Light" w:hAnsi="Ericsson Hilda Light" w:hint="default"/>
      </w:rPr>
    </w:lvl>
    <w:lvl w:ilvl="8" w:tplc="25AA4DC0" w:tentative="1">
      <w:start w:val="1"/>
      <w:numFmt w:val="bullet"/>
      <w:lvlText w:val="—"/>
      <w:lvlJc w:val="left"/>
      <w:pPr>
        <w:tabs>
          <w:tab w:val="num" w:pos="6480"/>
        </w:tabs>
        <w:ind w:left="6480" w:hanging="360"/>
      </w:pPr>
      <w:rPr>
        <w:rFonts w:ascii="Ericsson Hilda Light" w:hAnsi="Ericsson Hilda Light" w:hint="default"/>
      </w:rPr>
    </w:lvl>
  </w:abstractNum>
  <w:abstractNum w:abstractNumId="36" w15:restartNumberingAfterBreak="0">
    <w:nsid w:val="6C9B497B"/>
    <w:multiLevelType w:val="hybridMultilevel"/>
    <w:tmpl w:val="C9927920"/>
    <w:lvl w:ilvl="0" w:tplc="83B8CA12">
      <w:start w:val="4"/>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CB22C84"/>
    <w:multiLevelType w:val="hybridMultilevel"/>
    <w:tmpl w:val="1FCE90C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CB943FE"/>
    <w:multiLevelType w:val="hybridMultilevel"/>
    <w:tmpl w:val="642A2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6DE3358">
      <w:numFmt w:val="bullet"/>
      <w:lvlText w:val="-"/>
      <w:lvlJc w:val="left"/>
      <w:pPr>
        <w:ind w:left="2260" w:hanging="460"/>
      </w:pPr>
      <w:rPr>
        <w:rFonts w:ascii="Times New Roman" w:eastAsia="MS Mincho"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3C34B93"/>
    <w:multiLevelType w:val="hybridMultilevel"/>
    <w:tmpl w:val="407C42C2"/>
    <w:lvl w:ilvl="0" w:tplc="6AE66CDA">
      <w:start w:val="2"/>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BF009AF"/>
    <w:multiLevelType w:val="hybridMultilevel"/>
    <w:tmpl w:val="C07E3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260" w:hanging="4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8"/>
  </w:num>
  <w:num w:numId="4">
    <w:abstractNumId w:val="20"/>
  </w:num>
  <w:num w:numId="5">
    <w:abstractNumId w:val="12"/>
  </w:num>
  <w:num w:numId="6">
    <w:abstractNumId w:val="22"/>
  </w:num>
  <w:num w:numId="7">
    <w:abstractNumId w:val="30"/>
  </w:num>
  <w:num w:numId="8">
    <w:abstractNumId w:val="13"/>
  </w:num>
  <w:num w:numId="9">
    <w:abstractNumId w:val="26"/>
  </w:num>
  <w:num w:numId="10">
    <w:abstractNumId w:val="17"/>
  </w:num>
  <w:num w:numId="11">
    <w:abstractNumId w:val="33"/>
  </w:num>
  <w:num w:numId="12">
    <w:abstractNumId w:val="23"/>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8"/>
  </w:num>
  <w:num w:numId="15">
    <w:abstractNumId w:val="10"/>
  </w:num>
  <w:num w:numId="16">
    <w:abstractNumId w:val="31"/>
  </w:num>
  <w:num w:numId="17">
    <w:abstractNumId w:val="32"/>
  </w:num>
  <w:num w:numId="18">
    <w:abstractNumId w:val="16"/>
  </w:num>
  <w:num w:numId="19">
    <w:abstractNumId w:val="8"/>
  </w:num>
  <w:num w:numId="20">
    <w:abstractNumId w:val="24"/>
  </w:num>
  <w:num w:numId="21">
    <w:abstractNumId w:val="34"/>
  </w:num>
  <w:num w:numId="22">
    <w:abstractNumId w:val="40"/>
  </w:num>
  <w:num w:numId="23">
    <w:abstractNumId w:val="38"/>
  </w:num>
  <w:num w:numId="24">
    <w:abstractNumId w:val="15"/>
  </w:num>
  <w:num w:numId="25">
    <w:abstractNumId w:val="3"/>
  </w:num>
  <w:num w:numId="26">
    <w:abstractNumId w:val="19"/>
  </w:num>
  <w:num w:numId="27">
    <w:abstractNumId w:val="7"/>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14"/>
  </w:num>
  <w:num w:numId="35">
    <w:abstractNumId w:val="28"/>
  </w:num>
  <w:num w:numId="36">
    <w:abstractNumId w:val="35"/>
  </w:num>
  <w:num w:numId="37">
    <w:abstractNumId w:val="37"/>
  </w:num>
  <w:num w:numId="38">
    <w:abstractNumId w:val="11"/>
  </w:num>
  <w:num w:numId="39">
    <w:abstractNumId w:val="37"/>
  </w:num>
  <w:num w:numId="40">
    <w:abstractNumId w:val="29"/>
  </w:num>
  <w:num w:numId="41">
    <w:abstractNumId w:val="6"/>
  </w:num>
  <w:num w:numId="42">
    <w:abstractNumId w:val="4"/>
  </w:num>
  <w:num w:numId="43">
    <w:abstractNumId w:val="2"/>
  </w:num>
  <w:num w:numId="44">
    <w:abstractNumId w:val="21"/>
  </w:num>
  <w:num w:numId="45">
    <w:abstractNumId w:val="27"/>
  </w:num>
  <w:num w:numId="46">
    <w:abstractNumId w:val="9"/>
  </w:num>
  <w:num w:numId="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autoHyphenation/>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0F7A"/>
    <w:rsid w:val="00002446"/>
    <w:rsid w:val="000025E0"/>
    <w:rsid w:val="00002953"/>
    <w:rsid w:val="00002A37"/>
    <w:rsid w:val="00002AEA"/>
    <w:rsid w:val="000039B2"/>
    <w:rsid w:val="00003C8C"/>
    <w:rsid w:val="00003F5E"/>
    <w:rsid w:val="000048B8"/>
    <w:rsid w:val="0000504F"/>
    <w:rsid w:val="00005B58"/>
    <w:rsid w:val="00006446"/>
    <w:rsid w:val="00006512"/>
    <w:rsid w:val="00006896"/>
    <w:rsid w:val="0000736E"/>
    <w:rsid w:val="00007AEE"/>
    <w:rsid w:val="00007CDC"/>
    <w:rsid w:val="00007FD6"/>
    <w:rsid w:val="0001047E"/>
    <w:rsid w:val="00011B28"/>
    <w:rsid w:val="000124DF"/>
    <w:rsid w:val="00012B1E"/>
    <w:rsid w:val="000131DB"/>
    <w:rsid w:val="00013744"/>
    <w:rsid w:val="00015D15"/>
    <w:rsid w:val="00016285"/>
    <w:rsid w:val="00016613"/>
    <w:rsid w:val="00016F17"/>
    <w:rsid w:val="00017C5A"/>
    <w:rsid w:val="00017ECF"/>
    <w:rsid w:val="00021550"/>
    <w:rsid w:val="00021F7C"/>
    <w:rsid w:val="00022AD0"/>
    <w:rsid w:val="00022E0A"/>
    <w:rsid w:val="000231BE"/>
    <w:rsid w:val="00023A92"/>
    <w:rsid w:val="000245AB"/>
    <w:rsid w:val="00024CE0"/>
    <w:rsid w:val="0002564D"/>
    <w:rsid w:val="00025ECA"/>
    <w:rsid w:val="0002694F"/>
    <w:rsid w:val="00027643"/>
    <w:rsid w:val="000304EC"/>
    <w:rsid w:val="00030B30"/>
    <w:rsid w:val="00031D23"/>
    <w:rsid w:val="000325B8"/>
    <w:rsid w:val="00032747"/>
    <w:rsid w:val="00034358"/>
    <w:rsid w:val="00034521"/>
    <w:rsid w:val="000346DF"/>
    <w:rsid w:val="00034C15"/>
    <w:rsid w:val="00035802"/>
    <w:rsid w:val="00036BA1"/>
    <w:rsid w:val="000375C6"/>
    <w:rsid w:val="00040596"/>
    <w:rsid w:val="00041656"/>
    <w:rsid w:val="00042009"/>
    <w:rsid w:val="000421EF"/>
    <w:rsid w:val="000422E2"/>
    <w:rsid w:val="00042754"/>
    <w:rsid w:val="00042AE4"/>
    <w:rsid w:val="00042E89"/>
    <w:rsid w:val="00042F22"/>
    <w:rsid w:val="000436A1"/>
    <w:rsid w:val="000444EF"/>
    <w:rsid w:val="0004463C"/>
    <w:rsid w:val="0004468E"/>
    <w:rsid w:val="000451F7"/>
    <w:rsid w:val="000457E3"/>
    <w:rsid w:val="00045AA3"/>
    <w:rsid w:val="000466B1"/>
    <w:rsid w:val="000466D5"/>
    <w:rsid w:val="00046916"/>
    <w:rsid w:val="0004749D"/>
    <w:rsid w:val="0005092A"/>
    <w:rsid w:val="00051235"/>
    <w:rsid w:val="00052629"/>
    <w:rsid w:val="00052A07"/>
    <w:rsid w:val="00052A96"/>
    <w:rsid w:val="000534E3"/>
    <w:rsid w:val="000546DE"/>
    <w:rsid w:val="00054A0B"/>
    <w:rsid w:val="00055B6F"/>
    <w:rsid w:val="0005606A"/>
    <w:rsid w:val="0005607A"/>
    <w:rsid w:val="0005682F"/>
    <w:rsid w:val="00057117"/>
    <w:rsid w:val="0005715F"/>
    <w:rsid w:val="000572B5"/>
    <w:rsid w:val="00060465"/>
    <w:rsid w:val="00060DB1"/>
    <w:rsid w:val="0006128C"/>
    <w:rsid w:val="000616E7"/>
    <w:rsid w:val="00062025"/>
    <w:rsid w:val="000640B0"/>
    <w:rsid w:val="0006487E"/>
    <w:rsid w:val="000658AB"/>
    <w:rsid w:val="00065C9F"/>
    <w:rsid w:val="00065E1A"/>
    <w:rsid w:val="00065F67"/>
    <w:rsid w:val="00066AB6"/>
    <w:rsid w:val="00066BDA"/>
    <w:rsid w:val="00066F7E"/>
    <w:rsid w:val="00067139"/>
    <w:rsid w:val="000701B3"/>
    <w:rsid w:val="0007089E"/>
    <w:rsid w:val="00070A6B"/>
    <w:rsid w:val="00071A7D"/>
    <w:rsid w:val="00071CAA"/>
    <w:rsid w:val="00071EA6"/>
    <w:rsid w:val="00072530"/>
    <w:rsid w:val="000738D2"/>
    <w:rsid w:val="0007398C"/>
    <w:rsid w:val="000741A9"/>
    <w:rsid w:val="00074BEA"/>
    <w:rsid w:val="0007523A"/>
    <w:rsid w:val="000753A5"/>
    <w:rsid w:val="000758B4"/>
    <w:rsid w:val="0007601E"/>
    <w:rsid w:val="00076E49"/>
    <w:rsid w:val="000772CA"/>
    <w:rsid w:val="00077E5F"/>
    <w:rsid w:val="0008036A"/>
    <w:rsid w:val="00081AE6"/>
    <w:rsid w:val="00081EEA"/>
    <w:rsid w:val="00082BCB"/>
    <w:rsid w:val="00084AC4"/>
    <w:rsid w:val="000855EB"/>
    <w:rsid w:val="00085B52"/>
    <w:rsid w:val="000860BE"/>
    <w:rsid w:val="000866F2"/>
    <w:rsid w:val="00086D7C"/>
    <w:rsid w:val="00086DDC"/>
    <w:rsid w:val="00087C36"/>
    <w:rsid w:val="0009009F"/>
    <w:rsid w:val="0009022B"/>
    <w:rsid w:val="000906B8"/>
    <w:rsid w:val="00090F34"/>
    <w:rsid w:val="00091557"/>
    <w:rsid w:val="00091696"/>
    <w:rsid w:val="00091950"/>
    <w:rsid w:val="000924C1"/>
    <w:rsid w:val="000924F0"/>
    <w:rsid w:val="00093316"/>
    <w:rsid w:val="00093474"/>
    <w:rsid w:val="00093C48"/>
    <w:rsid w:val="00094174"/>
    <w:rsid w:val="00094388"/>
    <w:rsid w:val="0009510F"/>
    <w:rsid w:val="000A0001"/>
    <w:rsid w:val="000A05C1"/>
    <w:rsid w:val="000A119D"/>
    <w:rsid w:val="000A15BA"/>
    <w:rsid w:val="000A1B7B"/>
    <w:rsid w:val="000A2B85"/>
    <w:rsid w:val="000A2B8C"/>
    <w:rsid w:val="000A4BC2"/>
    <w:rsid w:val="000A4FF6"/>
    <w:rsid w:val="000A56F2"/>
    <w:rsid w:val="000A604F"/>
    <w:rsid w:val="000A6F80"/>
    <w:rsid w:val="000B0C8B"/>
    <w:rsid w:val="000B1071"/>
    <w:rsid w:val="000B2139"/>
    <w:rsid w:val="000B2548"/>
    <w:rsid w:val="000B2719"/>
    <w:rsid w:val="000B2CFF"/>
    <w:rsid w:val="000B34A6"/>
    <w:rsid w:val="000B3A8F"/>
    <w:rsid w:val="000B418A"/>
    <w:rsid w:val="000B4AB9"/>
    <w:rsid w:val="000B4B2D"/>
    <w:rsid w:val="000B5329"/>
    <w:rsid w:val="000B58C3"/>
    <w:rsid w:val="000B61E9"/>
    <w:rsid w:val="000B6D5F"/>
    <w:rsid w:val="000B7B60"/>
    <w:rsid w:val="000C0C0B"/>
    <w:rsid w:val="000C165A"/>
    <w:rsid w:val="000C1AEB"/>
    <w:rsid w:val="000C25AD"/>
    <w:rsid w:val="000C2CC5"/>
    <w:rsid w:val="000C2E19"/>
    <w:rsid w:val="000C344E"/>
    <w:rsid w:val="000C3BAC"/>
    <w:rsid w:val="000C41F2"/>
    <w:rsid w:val="000C4377"/>
    <w:rsid w:val="000C4C24"/>
    <w:rsid w:val="000C4E23"/>
    <w:rsid w:val="000C7518"/>
    <w:rsid w:val="000C77C0"/>
    <w:rsid w:val="000D0D07"/>
    <w:rsid w:val="000D0E7E"/>
    <w:rsid w:val="000D0F2B"/>
    <w:rsid w:val="000D13EA"/>
    <w:rsid w:val="000D1880"/>
    <w:rsid w:val="000D22B4"/>
    <w:rsid w:val="000D316F"/>
    <w:rsid w:val="000D32A3"/>
    <w:rsid w:val="000D35E6"/>
    <w:rsid w:val="000D42E8"/>
    <w:rsid w:val="000D4797"/>
    <w:rsid w:val="000D60E3"/>
    <w:rsid w:val="000D6B2E"/>
    <w:rsid w:val="000D72B2"/>
    <w:rsid w:val="000E0009"/>
    <w:rsid w:val="000E0527"/>
    <w:rsid w:val="000E1246"/>
    <w:rsid w:val="000E1E92"/>
    <w:rsid w:val="000E5327"/>
    <w:rsid w:val="000E63C4"/>
    <w:rsid w:val="000E77B8"/>
    <w:rsid w:val="000E7967"/>
    <w:rsid w:val="000F06D6"/>
    <w:rsid w:val="000F0EB1"/>
    <w:rsid w:val="000F1106"/>
    <w:rsid w:val="000F338F"/>
    <w:rsid w:val="000F3409"/>
    <w:rsid w:val="000F3678"/>
    <w:rsid w:val="000F3BE9"/>
    <w:rsid w:val="000F3C4F"/>
    <w:rsid w:val="000F3EB1"/>
    <w:rsid w:val="000F3F6C"/>
    <w:rsid w:val="000F47C6"/>
    <w:rsid w:val="000F4B4C"/>
    <w:rsid w:val="000F5BF5"/>
    <w:rsid w:val="000F600C"/>
    <w:rsid w:val="000F6D00"/>
    <w:rsid w:val="000F6DF3"/>
    <w:rsid w:val="0010048B"/>
    <w:rsid w:val="001005FF"/>
    <w:rsid w:val="00100B56"/>
    <w:rsid w:val="001010EB"/>
    <w:rsid w:val="00101484"/>
    <w:rsid w:val="001014BC"/>
    <w:rsid w:val="00101FEC"/>
    <w:rsid w:val="001023BF"/>
    <w:rsid w:val="0010429B"/>
    <w:rsid w:val="0010488A"/>
    <w:rsid w:val="001062FB"/>
    <w:rsid w:val="001063E6"/>
    <w:rsid w:val="001064BC"/>
    <w:rsid w:val="001070C4"/>
    <w:rsid w:val="0010715B"/>
    <w:rsid w:val="00107EE9"/>
    <w:rsid w:val="00110458"/>
    <w:rsid w:val="00110DEF"/>
    <w:rsid w:val="001118A8"/>
    <w:rsid w:val="00112C4A"/>
    <w:rsid w:val="00112C8C"/>
    <w:rsid w:val="001133A2"/>
    <w:rsid w:val="00113CF4"/>
    <w:rsid w:val="00114001"/>
    <w:rsid w:val="00114642"/>
    <w:rsid w:val="001146D6"/>
    <w:rsid w:val="001153EA"/>
    <w:rsid w:val="0011550B"/>
    <w:rsid w:val="00115643"/>
    <w:rsid w:val="00115ACE"/>
    <w:rsid w:val="001165ED"/>
    <w:rsid w:val="00116765"/>
    <w:rsid w:val="001170AB"/>
    <w:rsid w:val="0011781E"/>
    <w:rsid w:val="00117B93"/>
    <w:rsid w:val="00121401"/>
    <w:rsid w:val="001219F5"/>
    <w:rsid w:val="00121A20"/>
    <w:rsid w:val="0012320A"/>
    <w:rsid w:val="0012377F"/>
    <w:rsid w:val="00124314"/>
    <w:rsid w:val="001261DE"/>
    <w:rsid w:val="00126B27"/>
    <w:rsid w:val="00126B4A"/>
    <w:rsid w:val="00126B73"/>
    <w:rsid w:val="00127A16"/>
    <w:rsid w:val="00127A19"/>
    <w:rsid w:val="00127BE2"/>
    <w:rsid w:val="0013013F"/>
    <w:rsid w:val="00130FE5"/>
    <w:rsid w:val="00132FD0"/>
    <w:rsid w:val="00134339"/>
    <w:rsid w:val="001343DB"/>
    <w:rsid w:val="001344C0"/>
    <w:rsid w:val="001346FA"/>
    <w:rsid w:val="00134B7E"/>
    <w:rsid w:val="00135252"/>
    <w:rsid w:val="00135749"/>
    <w:rsid w:val="00135A79"/>
    <w:rsid w:val="00137841"/>
    <w:rsid w:val="00137AB5"/>
    <w:rsid w:val="00137BBC"/>
    <w:rsid w:val="00137F0B"/>
    <w:rsid w:val="00140153"/>
    <w:rsid w:val="00140491"/>
    <w:rsid w:val="00141767"/>
    <w:rsid w:val="001425D4"/>
    <w:rsid w:val="0014276F"/>
    <w:rsid w:val="00142E84"/>
    <w:rsid w:val="00143016"/>
    <w:rsid w:val="00145654"/>
    <w:rsid w:val="00146A8C"/>
    <w:rsid w:val="00146A8F"/>
    <w:rsid w:val="00151734"/>
    <w:rsid w:val="00151E23"/>
    <w:rsid w:val="00152422"/>
    <w:rsid w:val="001526E0"/>
    <w:rsid w:val="0015297A"/>
    <w:rsid w:val="0015373E"/>
    <w:rsid w:val="00153810"/>
    <w:rsid w:val="00154707"/>
    <w:rsid w:val="001551B5"/>
    <w:rsid w:val="00155569"/>
    <w:rsid w:val="001557F8"/>
    <w:rsid w:val="001561AC"/>
    <w:rsid w:val="00157E4B"/>
    <w:rsid w:val="00160DC3"/>
    <w:rsid w:val="00161351"/>
    <w:rsid w:val="001617D0"/>
    <w:rsid w:val="00161E9F"/>
    <w:rsid w:val="00162339"/>
    <w:rsid w:val="001625FC"/>
    <w:rsid w:val="0016289D"/>
    <w:rsid w:val="00162F87"/>
    <w:rsid w:val="001636EC"/>
    <w:rsid w:val="00163B1E"/>
    <w:rsid w:val="001659C1"/>
    <w:rsid w:val="001666E3"/>
    <w:rsid w:val="0017041B"/>
    <w:rsid w:val="00170891"/>
    <w:rsid w:val="00170FC4"/>
    <w:rsid w:val="001723FD"/>
    <w:rsid w:val="0017253E"/>
    <w:rsid w:val="001731F8"/>
    <w:rsid w:val="00173A8E"/>
    <w:rsid w:val="00174111"/>
    <w:rsid w:val="001742B8"/>
    <w:rsid w:val="00174925"/>
    <w:rsid w:val="00175052"/>
    <w:rsid w:val="0017553F"/>
    <w:rsid w:val="00175F81"/>
    <w:rsid w:val="00176408"/>
    <w:rsid w:val="00176BB2"/>
    <w:rsid w:val="00177249"/>
    <w:rsid w:val="00177A67"/>
    <w:rsid w:val="00177B76"/>
    <w:rsid w:val="00180281"/>
    <w:rsid w:val="00180D3E"/>
    <w:rsid w:val="001811AA"/>
    <w:rsid w:val="0018143F"/>
    <w:rsid w:val="0018160B"/>
    <w:rsid w:val="001837B6"/>
    <w:rsid w:val="00183859"/>
    <w:rsid w:val="00184B0A"/>
    <w:rsid w:val="00185550"/>
    <w:rsid w:val="00185587"/>
    <w:rsid w:val="00186516"/>
    <w:rsid w:val="00186702"/>
    <w:rsid w:val="00187CDB"/>
    <w:rsid w:val="001909E5"/>
    <w:rsid w:val="00190AC1"/>
    <w:rsid w:val="001911DD"/>
    <w:rsid w:val="00192669"/>
    <w:rsid w:val="0019272F"/>
    <w:rsid w:val="001931D3"/>
    <w:rsid w:val="0019341A"/>
    <w:rsid w:val="001943F3"/>
    <w:rsid w:val="0019508A"/>
    <w:rsid w:val="00195A79"/>
    <w:rsid w:val="00195ECB"/>
    <w:rsid w:val="00196C4D"/>
    <w:rsid w:val="001975BF"/>
    <w:rsid w:val="00197DF9"/>
    <w:rsid w:val="00197F9E"/>
    <w:rsid w:val="001A0FCE"/>
    <w:rsid w:val="001A1987"/>
    <w:rsid w:val="001A2564"/>
    <w:rsid w:val="001A2B44"/>
    <w:rsid w:val="001A43E7"/>
    <w:rsid w:val="001A5DB2"/>
    <w:rsid w:val="001A5E55"/>
    <w:rsid w:val="001A6173"/>
    <w:rsid w:val="001A6CBA"/>
    <w:rsid w:val="001B0120"/>
    <w:rsid w:val="001B03F3"/>
    <w:rsid w:val="001B0BC4"/>
    <w:rsid w:val="001B0CC7"/>
    <w:rsid w:val="001B0D97"/>
    <w:rsid w:val="001B1A26"/>
    <w:rsid w:val="001B24FD"/>
    <w:rsid w:val="001B2D11"/>
    <w:rsid w:val="001B3648"/>
    <w:rsid w:val="001B4C09"/>
    <w:rsid w:val="001B5A5D"/>
    <w:rsid w:val="001B5AE8"/>
    <w:rsid w:val="001B604C"/>
    <w:rsid w:val="001B6AA6"/>
    <w:rsid w:val="001B6C05"/>
    <w:rsid w:val="001B6E4A"/>
    <w:rsid w:val="001B7403"/>
    <w:rsid w:val="001B7977"/>
    <w:rsid w:val="001B7DFA"/>
    <w:rsid w:val="001C1CE5"/>
    <w:rsid w:val="001C3D2A"/>
    <w:rsid w:val="001C3FC0"/>
    <w:rsid w:val="001C4352"/>
    <w:rsid w:val="001C461A"/>
    <w:rsid w:val="001C47BD"/>
    <w:rsid w:val="001C5B7A"/>
    <w:rsid w:val="001C6830"/>
    <w:rsid w:val="001C68DB"/>
    <w:rsid w:val="001C6D57"/>
    <w:rsid w:val="001C7FCB"/>
    <w:rsid w:val="001D0996"/>
    <w:rsid w:val="001D0AD0"/>
    <w:rsid w:val="001D0B06"/>
    <w:rsid w:val="001D0C9C"/>
    <w:rsid w:val="001D197B"/>
    <w:rsid w:val="001D2576"/>
    <w:rsid w:val="001D2F2E"/>
    <w:rsid w:val="001D315B"/>
    <w:rsid w:val="001D3EA9"/>
    <w:rsid w:val="001D41E5"/>
    <w:rsid w:val="001D42F6"/>
    <w:rsid w:val="001D4B47"/>
    <w:rsid w:val="001D4BEB"/>
    <w:rsid w:val="001D51BA"/>
    <w:rsid w:val="001D5604"/>
    <w:rsid w:val="001D56AE"/>
    <w:rsid w:val="001D6342"/>
    <w:rsid w:val="001D6402"/>
    <w:rsid w:val="001D64D2"/>
    <w:rsid w:val="001D6D53"/>
    <w:rsid w:val="001D6D70"/>
    <w:rsid w:val="001D75F6"/>
    <w:rsid w:val="001D7C7F"/>
    <w:rsid w:val="001E0DEF"/>
    <w:rsid w:val="001E11A8"/>
    <w:rsid w:val="001E2560"/>
    <w:rsid w:val="001E3509"/>
    <w:rsid w:val="001E3B2B"/>
    <w:rsid w:val="001E3BCD"/>
    <w:rsid w:val="001E498A"/>
    <w:rsid w:val="001E5176"/>
    <w:rsid w:val="001E58E2"/>
    <w:rsid w:val="001E633E"/>
    <w:rsid w:val="001E7AED"/>
    <w:rsid w:val="001F06E2"/>
    <w:rsid w:val="001F1645"/>
    <w:rsid w:val="001F238E"/>
    <w:rsid w:val="001F2DB2"/>
    <w:rsid w:val="001F36BE"/>
    <w:rsid w:val="001F36EB"/>
    <w:rsid w:val="001F3916"/>
    <w:rsid w:val="001F3985"/>
    <w:rsid w:val="001F3C3C"/>
    <w:rsid w:val="001F4E61"/>
    <w:rsid w:val="001F54C5"/>
    <w:rsid w:val="001F59DA"/>
    <w:rsid w:val="001F5D72"/>
    <w:rsid w:val="001F662C"/>
    <w:rsid w:val="001F7074"/>
    <w:rsid w:val="00200019"/>
    <w:rsid w:val="00200490"/>
    <w:rsid w:val="00200DB9"/>
    <w:rsid w:val="0020103F"/>
    <w:rsid w:val="0020131E"/>
    <w:rsid w:val="00201C98"/>
    <w:rsid w:val="00201F3A"/>
    <w:rsid w:val="00202B4F"/>
    <w:rsid w:val="00203CD0"/>
    <w:rsid w:val="00203F96"/>
    <w:rsid w:val="002050E8"/>
    <w:rsid w:val="00205CE2"/>
    <w:rsid w:val="00205D7F"/>
    <w:rsid w:val="0020616C"/>
    <w:rsid w:val="00206233"/>
    <w:rsid w:val="002067A0"/>
    <w:rsid w:val="002069B2"/>
    <w:rsid w:val="0020713B"/>
    <w:rsid w:val="00207161"/>
    <w:rsid w:val="00207729"/>
    <w:rsid w:val="0020797E"/>
    <w:rsid w:val="00207EDB"/>
    <w:rsid w:val="00207FA3"/>
    <w:rsid w:val="00210B90"/>
    <w:rsid w:val="00211031"/>
    <w:rsid w:val="002116C8"/>
    <w:rsid w:val="00211751"/>
    <w:rsid w:val="002119D2"/>
    <w:rsid w:val="00212E3B"/>
    <w:rsid w:val="002147E5"/>
    <w:rsid w:val="00214DA8"/>
    <w:rsid w:val="00215423"/>
    <w:rsid w:val="002158FA"/>
    <w:rsid w:val="0021627C"/>
    <w:rsid w:val="00216FE0"/>
    <w:rsid w:val="00217193"/>
    <w:rsid w:val="00217242"/>
    <w:rsid w:val="0021725C"/>
    <w:rsid w:val="0021758B"/>
    <w:rsid w:val="002179E1"/>
    <w:rsid w:val="00217CF9"/>
    <w:rsid w:val="00220465"/>
    <w:rsid w:val="00220600"/>
    <w:rsid w:val="00220DD8"/>
    <w:rsid w:val="00221488"/>
    <w:rsid w:val="00221874"/>
    <w:rsid w:val="00221F45"/>
    <w:rsid w:val="002224DB"/>
    <w:rsid w:val="00223113"/>
    <w:rsid w:val="002234AE"/>
    <w:rsid w:val="00223E6D"/>
    <w:rsid w:val="00223FCB"/>
    <w:rsid w:val="002252C3"/>
    <w:rsid w:val="00225C54"/>
    <w:rsid w:val="00226B2B"/>
    <w:rsid w:val="00230765"/>
    <w:rsid w:val="0023134E"/>
    <w:rsid w:val="002319E4"/>
    <w:rsid w:val="00233A9F"/>
    <w:rsid w:val="00233DDF"/>
    <w:rsid w:val="00234CA0"/>
    <w:rsid w:val="00235128"/>
    <w:rsid w:val="0023527D"/>
    <w:rsid w:val="00235632"/>
    <w:rsid w:val="00235837"/>
    <w:rsid w:val="00235872"/>
    <w:rsid w:val="00236BB8"/>
    <w:rsid w:val="0023728E"/>
    <w:rsid w:val="00237294"/>
    <w:rsid w:val="00237FF2"/>
    <w:rsid w:val="00240040"/>
    <w:rsid w:val="00240462"/>
    <w:rsid w:val="00240AB6"/>
    <w:rsid w:val="00241124"/>
    <w:rsid w:val="00241559"/>
    <w:rsid w:val="0024327B"/>
    <w:rsid w:val="002435B3"/>
    <w:rsid w:val="00243614"/>
    <w:rsid w:val="002451ED"/>
    <w:rsid w:val="002454AC"/>
    <w:rsid w:val="002458EB"/>
    <w:rsid w:val="00245C42"/>
    <w:rsid w:val="002462D4"/>
    <w:rsid w:val="002465C9"/>
    <w:rsid w:val="00247B69"/>
    <w:rsid w:val="00247BE8"/>
    <w:rsid w:val="00247E38"/>
    <w:rsid w:val="002500C8"/>
    <w:rsid w:val="00251916"/>
    <w:rsid w:val="00251DD8"/>
    <w:rsid w:val="0025232C"/>
    <w:rsid w:val="002542B5"/>
    <w:rsid w:val="00255C48"/>
    <w:rsid w:val="0025693D"/>
    <w:rsid w:val="00256A27"/>
    <w:rsid w:val="00257543"/>
    <w:rsid w:val="0025767C"/>
    <w:rsid w:val="00257BC5"/>
    <w:rsid w:val="00260520"/>
    <w:rsid w:val="00260624"/>
    <w:rsid w:val="002606E9"/>
    <w:rsid w:val="002607A5"/>
    <w:rsid w:val="002611E7"/>
    <w:rsid w:val="002617E7"/>
    <w:rsid w:val="002628A4"/>
    <w:rsid w:val="00262D37"/>
    <w:rsid w:val="00262F7D"/>
    <w:rsid w:val="00264228"/>
    <w:rsid w:val="00264334"/>
    <w:rsid w:val="002644DE"/>
    <w:rsid w:val="0026473E"/>
    <w:rsid w:val="002650C6"/>
    <w:rsid w:val="0026523C"/>
    <w:rsid w:val="0026542E"/>
    <w:rsid w:val="00265BA8"/>
    <w:rsid w:val="00266214"/>
    <w:rsid w:val="0026626B"/>
    <w:rsid w:val="00266850"/>
    <w:rsid w:val="00266F41"/>
    <w:rsid w:val="00267824"/>
    <w:rsid w:val="00267C83"/>
    <w:rsid w:val="0027144F"/>
    <w:rsid w:val="00271803"/>
    <w:rsid w:val="00271813"/>
    <w:rsid w:val="00271F3A"/>
    <w:rsid w:val="00272564"/>
    <w:rsid w:val="00272BED"/>
    <w:rsid w:val="00273278"/>
    <w:rsid w:val="002737F4"/>
    <w:rsid w:val="00273E45"/>
    <w:rsid w:val="00273F38"/>
    <w:rsid w:val="00274025"/>
    <w:rsid w:val="00274276"/>
    <w:rsid w:val="00274EE6"/>
    <w:rsid w:val="00275A8F"/>
    <w:rsid w:val="00276FD0"/>
    <w:rsid w:val="00277B43"/>
    <w:rsid w:val="00277CB7"/>
    <w:rsid w:val="002805F5"/>
    <w:rsid w:val="00280751"/>
    <w:rsid w:val="00280A61"/>
    <w:rsid w:val="00280F79"/>
    <w:rsid w:val="00282270"/>
    <w:rsid w:val="0028280A"/>
    <w:rsid w:val="00282D77"/>
    <w:rsid w:val="00283179"/>
    <w:rsid w:val="00283ADC"/>
    <w:rsid w:val="00283F13"/>
    <w:rsid w:val="00285F6F"/>
    <w:rsid w:val="00286390"/>
    <w:rsid w:val="0028691E"/>
    <w:rsid w:val="00286ACD"/>
    <w:rsid w:val="00287838"/>
    <w:rsid w:val="00287886"/>
    <w:rsid w:val="00287A3D"/>
    <w:rsid w:val="00290317"/>
    <w:rsid w:val="002907B5"/>
    <w:rsid w:val="00290808"/>
    <w:rsid w:val="0029082A"/>
    <w:rsid w:val="002919CD"/>
    <w:rsid w:val="0029224C"/>
    <w:rsid w:val="002923FC"/>
    <w:rsid w:val="00292E35"/>
    <w:rsid w:val="00292EB7"/>
    <w:rsid w:val="00293453"/>
    <w:rsid w:val="00293647"/>
    <w:rsid w:val="00293EE2"/>
    <w:rsid w:val="00294021"/>
    <w:rsid w:val="0029429F"/>
    <w:rsid w:val="00296227"/>
    <w:rsid w:val="00296F44"/>
    <w:rsid w:val="0029752E"/>
    <w:rsid w:val="0029777D"/>
    <w:rsid w:val="002A055E"/>
    <w:rsid w:val="002A1A98"/>
    <w:rsid w:val="002A1D4E"/>
    <w:rsid w:val="002A2869"/>
    <w:rsid w:val="002A3080"/>
    <w:rsid w:val="002A42F1"/>
    <w:rsid w:val="002A4867"/>
    <w:rsid w:val="002A4F9F"/>
    <w:rsid w:val="002A6ABA"/>
    <w:rsid w:val="002A7882"/>
    <w:rsid w:val="002B0168"/>
    <w:rsid w:val="002B0546"/>
    <w:rsid w:val="002B0850"/>
    <w:rsid w:val="002B105C"/>
    <w:rsid w:val="002B1994"/>
    <w:rsid w:val="002B1A1F"/>
    <w:rsid w:val="002B1EFF"/>
    <w:rsid w:val="002B21A6"/>
    <w:rsid w:val="002B24D6"/>
    <w:rsid w:val="002B26F8"/>
    <w:rsid w:val="002B4954"/>
    <w:rsid w:val="002B5A3D"/>
    <w:rsid w:val="002B6176"/>
    <w:rsid w:val="002B61BD"/>
    <w:rsid w:val="002B7EBD"/>
    <w:rsid w:val="002C0280"/>
    <w:rsid w:val="002C0B86"/>
    <w:rsid w:val="002C100A"/>
    <w:rsid w:val="002C1610"/>
    <w:rsid w:val="002C29CB"/>
    <w:rsid w:val="002C2DC4"/>
    <w:rsid w:val="002C41E6"/>
    <w:rsid w:val="002C4CEA"/>
    <w:rsid w:val="002C4D7A"/>
    <w:rsid w:val="002C553C"/>
    <w:rsid w:val="002C6300"/>
    <w:rsid w:val="002C7649"/>
    <w:rsid w:val="002C7B53"/>
    <w:rsid w:val="002D071A"/>
    <w:rsid w:val="002D0BCF"/>
    <w:rsid w:val="002D133C"/>
    <w:rsid w:val="002D27D0"/>
    <w:rsid w:val="002D34B2"/>
    <w:rsid w:val="002D43C7"/>
    <w:rsid w:val="002D45A1"/>
    <w:rsid w:val="002D4C89"/>
    <w:rsid w:val="002D5689"/>
    <w:rsid w:val="002D5A9A"/>
    <w:rsid w:val="002D5FF2"/>
    <w:rsid w:val="002D7637"/>
    <w:rsid w:val="002D7B37"/>
    <w:rsid w:val="002E093B"/>
    <w:rsid w:val="002E17F2"/>
    <w:rsid w:val="002E19F4"/>
    <w:rsid w:val="002E35B0"/>
    <w:rsid w:val="002E4B33"/>
    <w:rsid w:val="002E4DA3"/>
    <w:rsid w:val="002E51E4"/>
    <w:rsid w:val="002E5864"/>
    <w:rsid w:val="002E5B7A"/>
    <w:rsid w:val="002E6401"/>
    <w:rsid w:val="002E66DD"/>
    <w:rsid w:val="002E6755"/>
    <w:rsid w:val="002E72A7"/>
    <w:rsid w:val="002E7CAE"/>
    <w:rsid w:val="002F0C55"/>
    <w:rsid w:val="002F10A6"/>
    <w:rsid w:val="002F18B7"/>
    <w:rsid w:val="002F1969"/>
    <w:rsid w:val="002F2771"/>
    <w:rsid w:val="002F2FE8"/>
    <w:rsid w:val="002F37A9"/>
    <w:rsid w:val="002F3A47"/>
    <w:rsid w:val="002F47F6"/>
    <w:rsid w:val="002F4976"/>
    <w:rsid w:val="002F5085"/>
    <w:rsid w:val="002F539E"/>
    <w:rsid w:val="002F6062"/>
    <w:rsid w:val="002F6288"/>
    <w:rsid w:val="002F70B4"/>
    <w:rsid w:val="002F7566"/>
    <w:rsid w:val="002F7E42"/>
    <w:rsid w:val="00300553"/>
    <w:rsid w:val="003006AF"/>
    <w:rsid w:val="00300812"/>
    <w:rsid w:val="0030121B"/>
    <w:rsid w:val="00301CE6"/>
    <w:rsid w:val="0030256B"/>
    <w:rsid w:val="00302AEA"/>
    <w:rsid w:val="0030501F"/>
    <w:rsid w:val="0030512D"/>
    <w:rsid w:val="00305213"/>
    <w:rsid w:val="003054FD"/>
    <w:rsid w:val="00305D4D"/>
    <w:rsid w:val="0030628D"/>
    <w:rsid w:val="00307423"/>
    <w:rsid w:val="00307BA1"/>
    <w:rsid w:val="00310195"/>
    <w:rsid w:val="003103FD"/>
    <w:rsid w:val="003108CC"/>
    <w:rsid w:val="00310B3F"/>
    <w:rsid w:val="00310DE0"/>
    <w:rsid w:val="00311084"/>
    <w:rsid w:val="00311702"/>
    <w:rsid w:val="00311E82"/>
    <w:rsid w:val="00312851"/>
    <w:rsid w:val="00312E33"/>
    <w:rsid w:val="00312EA5"/>
    <w:rsid w:val="003130D8"/>
    <w:rsid w:val="00313470"/>
    <w:rsid w:val="00313FD6"/>
    <w:rsid w:val="00314202"/>
    <w:rsid w:val="003143BD"/>
    <w:rsid w:val="003144ED"/>
    <w:rsid w:val="003148C2"/>
    <w:rsid w:val="00314D07"/>
    <w:rsid w:val="0031535D"/>
    <w:rsid w:val="00315B12"/>
    <w:rsid w:val="00315B9D"/>
    <w:rsid w:val="00315BF2"/>
    <w:rsid w:val="00315DCF"/>
    <w:rsid w:val="003167BC"/>
    <w:rsid w:val="0031684E"/>
    <w:rsid w:val="00317982"/>
    <w:rsid w:val="003203ED"/>
    <w:rsid w:val="003203F9"/>
    <w:rsid w:val="003208C9"/>
    <w:rsid w:val="003212B8"/>
    <w:rsid w:val="00321A94"/>
    <w:rsid w:val="00321FEC"/>
    <w:rsid w:val="0032276F"/>
    <w:rsid w:val="00322C9F"/>
    <w:rsid w:val="00322F83"/>
    <w:rsid w:val="003239F3"/>
    <w:rsid w:val="003241B7"/>
    <w:rsid w:val="00324D23"/>
    <w:rsid w:val="003257D6"/>
    <w:rsid w:val="00326D30"/>
    <w:rsid w:val="0032713F"/>
    <w:rsid w:val="00327997"/>
    <w:rsid w:val="0033117A"/>
    <w:rsid w:val="00331751"/>
    <w:rsid w:val="00331846"/>
    <w:rsid w:val="00331B7B"/>
    <w:rsid w:val="00333729"/>
    <w:rsid w:val="00333DE3"/>
    <w:rsid w:val="00334579"/>
    <w:rsid w:val="003345D1"/>
    <w:rsid w:val="00334F12"/>
    <w:rsid w:val="00335858"/>
    <w:rsid w:val="00335D33"/>
    <w:rsid w:val="00335D97"/>
    <w:rsid w:val="00336014"/>
    <w:rsid w:val="00336BDA"/>
    <w:rsid w:val="00337789"/>
    <w:rsid w:val="003406B3"/>
    <w:rsid w:val="00340E00"/>
    <w:rsid w:val="003411EB"/>
    <w:rsid w:val="00341900"/>
    <w:rsid w:val="00341F41"/>
    <w:rsid w:val="00341FEB"/>
    <w:rsid w:val="00342AD7"/>
    <w:rsid w:val="00342BD7"/>
    <w:rsid w:val="00343B58"/>
    <w:rsid w:val="00344A2B"/>
    <w:rsid w:val="00344F6C"/>
    <w:rsid w:val="00345999"/>
    <w:rsid w:val="0034698D"/>
    <w:rsid w:val="00346DB5"/>
    <w:rsid w:val="00346E10"/>
    <w:rsid w:val="00347233"/>
    <w:rsid w:val="003474E4"/>
    <w:rsid w:val="003477B1"/>
    <w:rsid w:val="00347AD9"/>
    <w:rsid w:val="00350C94"/>
    <w:rsid w:val="00352223"/>
    <w:rsid w:val="003532EF"/>
    <w:rsid w:val="0035361E"/>
    <w:rsid w:val="0035474F"/>
    <w:rsid w:val="00355944"/>
    <w:rsid w:val="00355ECD"/>
    <w:rsid w:val="00356175"/>
    <w:rsid w:val="00356A14"/>
    <w:rsid w:val="00356AB8"/>
    <w:rsid w:val="00357380"/>
    <w:rsid w:val="003602D9"/>
    <w:rsid w:val="003604CE"/>
    <w:rsid w:val="0036056F"/>
    <w:rsid w:val="00360A9B"/>
    <w:rsid w:val="00361500"/>
    <w:rsid w:val="00362946"/>
    <w:rsid w:val="00362E37"/>
    <w:rsid w:val="00362F7E"/>
    <w:rsid w:val="0036444C"/>
    <w:rsid w:val="00364B1B"/>
    <w:rsid w:val="00364B2A"/>
    <w:rsid w:val="00364E64"/>
    <w:rsid w:val="00365A87"/>
    <w:rsid w:val="003660B8"/>
    <w:rsid w:val="0036691C"/>
    <w:rsid w:val="00370046"/>
    <w:rsid w:val="00370217"/>
    <w:rsid w:val="003709EB"/>
    <w:rsid w:val="00370AEE"/>
    <w:rsid w:val="00370E47"/>
    <w:rsid w:val="003713A5"/>
    <w:rsid w:val="003716E6"/>
    <w:rsid w:val="00373AEC"/>
    <w:rsid w:val="003742AC"/>
    <w:rsid w:val="00374743"/>
    <w:rsid w:val="00374ADB"/>
    <w:rsid w:val="00375759"/>
    <w:rsid w:val="003771FE"/>
    <w:rsid w:val="003773A8"/>
    <w:rsid w:val="003773D1"/>
    <w:rsid w:val="0037798D"/>
    <w:rsid w:val="00377CE1"/>
    <w:rsid w:val="00377CF9"/>
    <w:rsid w:val="003802D7"/>
    <w:rsid w:val="0038052F"/>
    <w:rsid w:val="00380B8A"/>
    <w:rsid w:val="00380BA4"/>
    <w:rsid w:val="00380CA8"/>
    <w:rsid w:val="003812CF"/>
    <w:rsid w:val="00382F6E"/>
    <w:rsid w:val="0038549E"/>
    <w:rsid w:val="00385993"/>
    <w:rsid w:val="00385BF0"/>
    <w:rsid w:val="00386FE5"/>
    <w:rsid w:val="00387670"/>
    <w:rsid w:val="003904DB"/>
    <w:rsid w:val="0039136C"/>
    <w:rsid w:val="003931C2"/>
    <w:rsid w:val="003939FF"/>
    <w:rsid w:val="003941EA"/>
    <w:rsid w:val="003942AF"/>
    <w:rsid w:val="003945B5"/>
    <w:rsid w:val="003947C2"/>
    <w:rsid w:val="0039536D"/>
    <w:rsid w:val="00395435"/>
    <w:rsid w:val="00395647"/>
    <w:rsid w:val="00396589"/>
    <w:rsid w:val="00396C17"/>
    <w:rsid w:val="00396D7D"/>
    <w:rsid w:val="00396F7A"/>
    <w:rsid w:val="00397E79"/>
    <w:rsid w:val="003A0AB2"/>
    <w:rsid w:val="003A0B31"/>
    <w:rsid w:val="003A0E41"/>
    <w:rsid w:val="003A1D63"/>
    <w:rsid w:val="003A2223"/>
    <w:rsid w:val="003A246A"/>
    <w:rsid w:val="003A26C7"/>
    <w:rsid w:val="003A2A0F"/>
    <w:rsid w:val="003A300B"/>
    <w:rsid w:val="003A3D86"/>
    <w:rsid w:val="003A414E"/>
    <w:rsid w:val="003A45A1"/>
    <w:rsid w:val="003A49B9"/>
    <w:rsid w:val="003A4A33"/>
    <w:rsid w:val="003A5263"/>
    <w:rsid w:val="003A58EC"/>
    <w:rsid w:val="003A5B0A"/>
    <w:rsid w:val="003A5E49"/>
    <w:rsid w:val="003A6BAC"/>
    <w:rsid w:val="003A7EF3"/>
    <w:rsid w:val="003B011E"/>
    <w:rsid w:val="003B03FB"/>
    <w:rsid w:val="003B0DE4"/>
    <w:rsid w:val="003B159C"/>
    <w:rsid w:val="003B1AF6"/>
    <w:rsid w:val="003B2549"/>
    <w:rsid w:val="003B25C3"/>
    <w:rsid w:val="003B27E8"/>
    <w:rsid w:val="003B369F"/>
    <w:rsid w:val="003B36A3"/>
    <w:rsid w:val="003B3B1E"/>
    <w:rsid w:val="003B704C"/>
    <w:rsid w:val="003B7283"/>
    <w:rsid w:val="003B7FE5"/>
    <w:rsid w:val="003C11C8"/>
    <w:rsid w:val="003C14B0"/>
    <w:rsid w:val="003C14FE"/>
    <w:rsid w:val="003C1FCD"/>
    <w:rsid w:val="003C214E"/>
    <w:rsid w:val="003C2702"/>
    <w:rsid w:val="003C28C7"/>
    <w:rsid w:val="003C2945"/>
    <w:rsid w:val="003C3069"/>
    <w:rsid w:val="003C4989"/>
    <w:rsid w:val="003C4F0A"/>
    <w:rsid w:val="003C4F2A"/>
    <w:rsid w:val="003C5348"/>
    <w:rsid w:val="003C5855"/>
    <w:rsid w:val="003C6104"/>
    <w:rsid w:val="003C6597"/>
    <w:rsid w:val="003C6886"/>
    <w:rsid w:val="003C6A62"/>
    <w:rsid w:val="003C6BE4"/>
    <w:rsid w:val="003C6E60"/>
    <w:rsid w:val="003C75D4"/>
    <w:rsid w:val="003C7806"/>
    <w:rsid w:val="003C7DA5"/>
    <w:rsid w:val="003D00DC"/>
    <w:rsid w:val="003D064E"/>
    <w:rsid w:val="003D109F"/>
    <w:rsid w:val="003D1650"/>
    <w:rsid w:val="003D1A37"/>
    <w:rsid w:val="003D2275"/>
    <w:rsid w:val="003D2290"/>
    <w:rsid w:val="003D2478"/>
    <w:rsid w:val="003D2951"/>
    <w:rsid w:val="003D2EEC"/>
    <w:rsid w:val="003D2FB3"/>
    <w:rsid w:val="003D3C45"/>
    <w:rsid w:val="003D3E76"/>
    <w:rsid w:val="003D4098"/>
    <w:rsid w:val="003D4A8C"/>
    <w:rsid w:val="003D4C25"/>
    <w:rsid w:val="003D54E6"/>
    <w:rsid w:val="003D5B1F"/>
    <w:rsid w:val="003D5DBF"/>
    <w:rsid w:val="003E0BA5"/>
    <w:rsid w:val="003E0C29"/>
    <w:rsid w:val="003E15FA"/>
    <w:rsid w:val="003E22B5"/>
    <w:rsid w:val="003E264E"/>
    <w:rsid w:val="003E3B3D"/>
    <w:rsid w:val="003E55E4"/>
    <w:rsid w:val="003E6745"/>
    <w:rsid w:val="003E694E"/>
    <w:rsid w:val="003E74E3"/>
    <w:rsid w:val="003E7670"/>
    <w:rsid w:val="003F05C7"/>
    <w:rsid w:val="003F0D1F"/>
    <w:rsid w:val="003F1BE6"/>
    <w:rsid w:val="003F1C23"/>
    <w:rsid w:val="003F26F9"/>
    <w:rsid w:val="003F2CD4"/>
    <w:rsid w:val="003F304B"/>
    <w:rsid w:val="003F362C"/>
    <w:rsid w:val="003F3705"/>
    <w:rsid w:val="003F428A"/>
    <w:rsid w:val="003F42DD"/>
    <w:rsid w:val="003F5163"/>
    <w:rsid w:val="003F51FA"/>
    <w:rsid w:val="003F5C96"/>
    <w:rsid w:val="003F67A1"/>
    <w:rsid w:val="003F6BBE"/>
    <w:rsid w:val="003F6D10"/>
    <w:rsid w:val="003F6F56"/>
    <w:rsid w:val="003F738A"/>
    <w:rsid w:val="004000E8"/>
    <w:rsid w:val="00400881"/>
    <w:rsid w:val="00400C94"/>
    <w:rsid w:val="0040147F"/>
    <w:rsid w:val="004014F6"/>
    <w:rsid w:val="00401E05"/>
    <w:rsid w:val="00402348"/>
    <w:rsid w:val="00402DF3"/>
    <w:rsid w:val="00402E2B"/>
    <w:rsid w:val="004031FC"/>
    <w:rsid w:val="0040320B"/>
    <w:rsid w:val="004033B5"/>
    <w:rsid w:val="004034B0"/>
    <w:rsid w:val="004037D7"/>
    <w:rsid w:val="0040397B"/>
    <w:rsid w:val="00403D6A"/>
    <w:rsid w:val="004050EA"/>
    <w:rsid w:val="0040512B"/>
    <w:rsid w:val="00405B7A"/>
    <w:rsid w:val="00405CA5"/>
    <w:rsid w:val="004070FE"/>
    <w:rsid w:val="00407CD3"/>
    <w:rsid w:val="00410134"/>
    <w:rsid w:val="00410367"/>
    <w:rsid w:val="004106AF"/>
    <w:rsid w:val="00410831"/>
    <w:rsid w:val="0041097D"/>
    <w:rsid w:val="00410B72"/>
    <w:rsid w:val="00410F18"/>
    <w:rsid w:val="0041124C"/>
    <w:rsid w:val="004119D3"/>
    <w:rsid w:val="00411E91"/>
    <w:rsid w:val="0041263E"/>
    <w:rsid w:val="00412DB6"/>
    <w:rsid w:val="00412DDC"/>
    <w:rsid w:val="004132DE"/>
    <w:rsid w:val="00413444"/>
    <w:rsid w:val="004135C4"/>
    <w:rsid w:val="00413A23"/>
    <w:rsid w:val="00413AAC"/>
    <w:rsid w:val="00413E92"/>
    <w:rsid w:val="00413FEB"/>
    <w:rsid w:val="0041424B"/>
    <w:rsid w:val="004148F1"/>
    <w:rsid w:val="00415649"/>
    <w:rsid w:val="00415AA6"/>
    <w:rsid w:val="00416ACE"/>
    <w:rsid w:val="004172DE"/>
    <w:rsid w:val="00417541"/>
    <w:rsid w:val="00417C5A"/>
    <w:rsid w:val="00417F94"/>
    <w:rsid w:val="0042071D"/>
    <w:rsid w:val="00420735"/>
    <w:rsid w:val="00421105"/>
    <w:rsid w:val="00422EBC"/>
    <w:rsid w:val="00423403"/>
    <w:rsid w:val="004237F6"/>
    <w:rsid w:val="0042381C"/>
    <w:rsid w:val="00423839"/>
    <w:rsid w:val="004242F4"/>
    <w:rsid w:val="00426DF7"/>
    <w:rsid w:val="00427248"/>
    <w:rsid w:val="00430ACB"/>
    <w:rsid w:val="00430E8C"/>
    <w:rsid w:val="00432134"/>
    <w:rsid w:val="00432153"/>
    <w:rsid w:val="0043226F"/>
    <w:rsid w:val="004329F3"/>
    <w:rsid w:val="00432E34"/>
    <w:rsid w:val="00432E92"/>
    <w:rsid w:val="00433A3F"/>
    <w:rsid w:val="00434738"/>
    <w:rsid w:val="00435F56"/>
    <w:rsid w:val="0043620E"/>
    <w:rsid w:val="0043648A"/>
    <w:rsid w:val="00436599"/>
    <w:rsid w:val="00436F0D"/>
    <w:rsid w:val="00436F64"/>
    <w:rsid w:val="004372CE"/>
    <w:rsid w:val="00437447"/>
    <w:rsid w:val="004374A7"/>
    <w:rsid w:val="00437BF6"/>
    <w:rsid w:val="00437FB4"/>
    <w:rsid w:val="0044017F"/>
    <w:rsid w:val="0044039A"/>
    <w:rsid w:val="00440873"/>
    <w:rsid w:val="00441782"/>
    <w:rsid w:val="00441A92"/>
    <w:rsid w:val="0044231C"/>
    <w:rsid w:val="00442622"/>
    <w:rsid w:val="00442717"/>
    <w:rsid w:val="00442BC4"/>
    <w:rsid w:val="004435A9"/>
    <w:rsid w:val="00443C4C"/>
    <w:rsid w:val="00444CE2"/>
    <w:rsid w:val="00444F56"/>
    <w:rsid w:val="004458ED"/>
    <w:rsid w:val="00445B42"/>
    <w:rsid w:val="00445E03"/>
    <w:rsid w:val="00445EDC"/>
    <w:rsid w:val="00446488"/>
    <w:rsid w:val="00446767"/>
    <w:rsid w:val="0044682C"/>
    <w:rsid w:val="004469DC"/>
    <w:rsid w:val="00446FA7"/>
    <w:rsid w:val="0044723D"/>
    <w:rsid w:val="0044746B"/>
    <w:rsid w:val="00447699"/>
    <w:rsid w:val="00447DE1"/>
    <w:rsid w:val="004501ED"/>
    <w:rsid w:val="00450817"/>
    <w:rsid w:val="00450B45"/>
    <w:rsid w:val="00450BE5"/>
    <w:rsid w:val="0045141A"/>
    <w:rsid w:val="004517AA"/>
    <w:rsid w:val="00452AAC"/>
    <w:rsid w:val="00452CAC"/>
    <w:rsid w:val="0045308C"/>
    <w:rsid w:val="0045382A"/>
    <w:rsid w:val="00453967"/>
    <w:rsid w:val="00454152"/>
    <w:rsid w:val="004543F1"/>
    <w:rsid w:val="00454DF9"/>
    <w:rsid w:val="00455839"/>
    <w:rsid w:val="004559F0"/>
    <w:rsid w:val="00456773"/>
    <w:rsid w:val="00456ABA"/>
    <w:rsid w:val="00456BE1"/>
    <w:rsid w:val="00457300"/>
    <w:rsid w:val="00457466"/>
    <w:rsid w:val="00457565"/>
    <w:rsid w:val="00457B71"/>
    <w:rsid w:val="00457E1D"/>
    <w:rsid w:val="004608A2"/>
    <w:rsid w:val="004628E9"/>
    <w:rsid w:val="0046337A"/>
    <w:rsid w:val="00464D2C"/>
    <w:rsid w:val="00465ABC"/>
    <w:rsid w:val="00465CE4"/>
    <w:rsid w:val="00465E70"/>
    <w:rsid w:val="004663A6"/>
    <w:rsid w:val="004669E2"/>
    <w:rsid w:val="00466AD6"/>
    <w:rsid w:val="00466C0E"/>
    <w:rsid w:val="00470C31"/>
    <w:rsid w:val="00471D25"/>
    <w:rsid w:val="0047221F"/>
    <w:rsid w:val="0047299D"/>
    <w:rsid w:val="004734D0"/>
    <w:rsid w:val="00473A06"/>
    <w:rsid w:val="00473E8E"/>
    <w:rsid w:val="00473FD1"/>
    <w:rsid w:val="004743EE"/>
    <w:rsid w:val="0047556B"/>
    <w:rsid w:val="00475DD4"/>
    <w:rsid w:val="00475FFA"/>
    <w:rsid w:val="00476481"/>
    <w:rsid w:val="00476C25"/>
    <w:rsid w:val="00477116"/>
    <w:rsid w:val="00477768"/>
    <w:rsid w:val="00477AF2"/>
    <w:rsid w:val="00477B73"/>
    <w:rsid w:val="00481584"/>
    <w:rsid w:val="00481735"/>
    <w:rsid w:val="00481B5C"/>
    <w:rsid w:val="0048341C"/>
    <w:rsid w:val="00483C1D"/>
    <w:rsid w:val="004843F2"/>
    <w:rsid w:val="00484622"/>
    <w:rsid w:val="004847B6"/>
    <w:rsid w:val="00484C71"/>
    <w:rsid w:val="00485145"/>
    <w:rsid w:val="004852A5"/>
    <w:rsid w:val="00485FFC"/>
    <w:rsid w:val="004866BF"/>
    <w:rsid w:val="00490A9C"/>
    <w:rsid w:val="00491011"/>
    <w:rsid w:val="0049119D"/>
    <w:rsid w:val="00492A23"/>
    <w:rsid w:val="00492BC5"/>
    <w:rsid w:val="00493116"/>
    <w:rsid w:val="00493D55"/>
    <w:rsid w:val="00494846"/>
    <w:rsid w:val="00494E41"/>
    <w:rsid w:val="00495524"/>
    <w:rsid w:val="0049568A"/>
    <w:rsid w:val="004960A3"/>
    <w:rsid w:val="004964F1"/>
    <w:rsid w:val="00496699"/>
    <w:rsid w:val="00496BAD"/>
    <w:rsid w:val="00496F74"/>
    <w:rsid w:val="0049791D"/>
    <w:rsid w:val="00497CC4"/>
    <w:rsid w:val="004A0B10"/>
    <w:rsid w:val="004A1056"/>
    <w:rsid w:val="004A1060"/>
    <w:rsid w:val="004A16BC"/>
    <w:rsid w:val="004A16F4"/>
    <w:rsid w:val="004A1DDB"/>
    <w:rsid w:val="004A1E12"/>
    <w:rsid w:val="004A2296"/>
    <w:rsid w:val="004A25D3"/>
    <w:rsid w:val="004A27A3"/>
    <w:rsid w:val="004A2B94"/>
    <w:rsid w:val="004A347A"/>
    <w:rsid w:val="004A3BE8"/>
    <w:rsid w:val="004A3D57"/>
    <w:rsid w:val="004A4AA2"/>
    <w:rsid w:val="004A5269"/>
    <w:rsid w:val="004A5B39"/>
    <w:rsid w:val="004A6AA8"/>
    <w:rsid w:val="004B02F1"/>
    <w:rsid w:val="004B03F6"/>
    <w:rsid w:val="004B09EB"/>
    <w:rsid w:val="004B1FAF"/>
    <w:rsid w:val="004B28E2"/>
    <w:rsid w:val="004B306B"/>
    <w:rsid w:val="004B3491"/>
    <w:rsid w:val="004B356F"/>
    <w:rsid w:val="004B368B"/>
    <w:rsid w:val="004B718B"/>
    <w:rsid w:val="004B7C0C"/>
    <w:rsid w:val="004B7CF3"/>
    <w:rsid w:val="004C0557"/>
    <w:rsid w:val="004C086B"/>
    <w:rsid w:val="004C36AD"/>
    <w:rsid w:val="004C3898"/>
    <w:rsid w:val="004C445F"/>
    <w:rsid w:val="004C5EA5"/>
    <w:rsid w:val="004C7E3A"/>
    <w:rsid w:val="004D022B"/>
    <w:rsid w:val="004D06EE"/>
    <w:rsid w:val="004D08DB"/>
    <w:rsid w:val="004D13E1"/>
    <w:rsid w:val="004D1981"/>
    <w:rsid w:val="004D24C5"/>
    <w:rsid w:val="004D36B1"/>
    <w:rsid w:val="004D4507"/>
    <w:rsid w:val="004D488D"/>
    <w:rsid w:val="004D4AC0"/>
    <w:rsid w:val="004D4CDD"/>
    <w:rsid w:val="004D4D88"/>
    <w:rsid w:val="004D5974"/>
    <w:rsid w:val="004D59EF"/>
    <w:rsid w:val="004D60BD"/>
    <w:rsid w:val="004D7C2B"/>
    <w:rsid w:val="004D7EBD"/>
    <w:rsid w:val="004E0476"/>
    <w:rsid w:val="004E100D"/>
    <w:rsid w:val="004E12F1"/>
    <w:rsid w:val="004E1930"/>
    <w:rsid w:val="004E1FCE"/>
    <w:rsid w:val="004E246C"/>
    <w:rsid w:val="004E2680"/>
    <w:rsid w:val="004E28F9"/>
    <w:rsid w:val="004E29FF"/>
    <w:rsid w:val="004E2B3A"/>
    <w:rsid w:val="004E31A9"/>
    <w:rsid w:val="004E33F3"/>
    <w:rsid w:val="004E42FD"/>
    <w:rsid w:val="004E462E"/>
    <w:rsid w:val="004E56DC"/>
    <w:rsid w:val="004E6A85"/>
    <w:rsid w:val="004E6F93"/>
    <w:rsid w:val="004E76F4"/>
    <w:rsid w:val="004F0293"/>
    <w:rsid w:val="004F032D"/>
    <w:rsid w:val="004F0B4E"/>
    <w:rsid w:val="004F0B6C"/>
    <w:rsid w:val="004F17A6"/>
    <w:rsid w:val="004F19A8"/>
    <w:rsid w:val="004F2078"/>
    <w:rsid w:val="004F26F4"/>
    <w:rsid w:val="004F27AC"/>
    <w:rsid w:val="004F2C94"/>
    <w:rsid w:val="004F368A"/>
    <w:rsid w:val="004F4459"/>
    <w:rsid w:val="004F4670"/>
    <w:rsid w:val="004F46ED"/>
    <w:rsid w:val="004F4849"/>
    <w:rsid w:val="004F4DA3"/>
    <w:rsid w:val="004F53FD"/>
    <w:rsid w:val="004F5D30"/>
    <w:rsid w:val="004F662B"/>
    <w:rsid w:val="004F6A68"/>
    <w:rsid w:val="004F6C54"/>
    <w:rsid w:val="004F6CB9"/>
    <w:rsid w:val="004F723F"/>
    <w:rsid w:val="004F728D"/>
    <w:rsid w:val="00500009"/>
    <w:rsid w:val="00500578"/>
    <w:rsid w:val="00501C20"/>
    <w:rsid w:val="00501C33"/>
    <w:rsid w:val="0050241D"/>
    <w:rsid w:val="005027F4"/>
    <w:rsid w:val="00503711"/>
    <w:rsid w:val="00505781"/>
    <w:rsid w:val="0050591F"/>
    <w:rsid w:val="00506557"/>
    <w:rsid w:val="0050677A"/>
    <w:rsid w:val="00506816"/>
    <w:rsid w:val="0050681B"/>
    <w:rsid w:val="00506B06"/>
    <w:rsid w:val="00506F61"/>
    <w:rsid w:val="00507DB1"/>
    <w:rsid w:val="00507EAC"/>
    <w:rsid w:val="005108CD"/>
    <w:rsid w:val="005108D8"/>
    <w:rsid w:val="00511236"/>
    <w:rsid w:val="005116F9"/>
    <w:rsid w:val="00511BFE"/>
    <w:rsid w:val="00513646"/>
    <w:rsid w:val="00514234"/>
    <w:rsid w:val="0051436A"/>
    <w:rsid w:val="005153A7"/>
    <w:rsid w:val="0051656B"/>
    <w:rsid w:val="00517FA4"/>
    <w:rsid w:val="005201C7"/>
    <w:rsid w:val="00521495"/>
    <w:rsid w:val="005219CF"/>
    <w:rsid w:val="00521BEA"/>
    <w:rsid w:val="00521DF1"/>
    <w:rsid w:val="00522461"/>
    <w:rsid w:val="00522D6A"/>
    <w:rsid w:val="0052439B"/>
    <w:rsid w:val="0052472F"/>
    <w:rsid w:val="00525E9D"/>
    <w:rsid w:val="0052626E"/>
    <w:rsid w:val="005311BE"/>
    <w:rsid w:val="00531E8B"/>
    <w:rsid w:val="0053268F"/>
    <w:rsid w:val="005336DB"/>
    <w:rsid w:val="0053410E"/>
    <w:rsid w:val="00534726"/>
    <w:rsid w:val="00534755"/>
    <w:rsid w:val="00534B59"/>
    <w:rsid w:val="00534DBB"/>
    <w:rsid w:val="00534E6D"/>
    <w:rsid w:val="0053534B"/>
    <w:rsid w:val="0053594E"/>
    <w:rsid w:val="00535E9E"/>
    <w:rsid w:val="00536759"/>
    <w:rsid w:val="00536D7D"/>
    <w:rsid w:val="005370EE"/>
    <w:rsid w:val="00537C62"/>
    <w:rsid w:val="00537F09"/>
    <w:rsid w:val="00540C40"/>
    <w:rsid w:val="005416D7"/>
    <w:rsid w:val="00541941"/>
    <w:rsid w:val="00541FA2"/>
    <w:rsid w:val="0054225D"/>
    <w:rsid w:val="005426E0"/>
    <w:rsid w:val="005427FA"/>
    <w:rsid w:val="0054282F"/>
    <w:rsid w:val="00542AF0"/>
    <w:rsid w:val="00544A28"/>
    <w:rsid w:val="00544D21"/>
    <w:rsid w:val="00544FB7"/>
    <w:rsid w:val="0054568B"/>
    <w:rsid w:val="00545773"/>
    <w:rsid w:val="0054616C"/>
    <w:rsid w:val="00546774"/>
    <w:rsid w:val="00546970"/>
    <w:rsid w:val="00546EE8"/>
    <w:rsid w:val="00547542"/>
    <w:rsid w:val="00547DC5"/>
    <w:rsid w:val="00550442"/>
    <w:rsid w:val="00551104"/>
    <w:rsid w:val="0055228B"/>
    <w:rsid w:val="00552F5F"/>
    <w:rsid w:val="005540FB"/>
    <w:rsid w:val="00554192"/>
    <w:rsid w:val="005549AF"/>
    <w:rsid w:val="00554C14"/>
    <w:rsid w:val="00554D21"/>
    <w:rsid w:val="00554E19"/>
    <w:rsid w:val="00555386"/>
    <w:rsid w:val="005570BE"/>
    <w:rsid w:val="00557197"/>
    <w:rsid w:val="0056072F"/>
    <w:rsid w:val="005607C6"/>
    <w:rsid w:val="0056121F"/>
    <w:rsid w:val="00561DAC"/>
    <w:rsid w:val="00562320"/>
    <w:rsid w:val="00562529"/>
    <w:rsid w:val="005627B2"/>
    <w:rsid w:val="005630FF"/>
    <w:rsid w:val="005633E8"/>
    <w:rsid w:val="00563DB8"/>
    <w:rsid w:val="00563EEE"/>
    <w:rsid w:val="00565399"/>
    <w:rsid w:val="00565404"/>
    <w:rsid w:val="00567295"/>
    <w:rsid w:val="005704AC"/>
    <w:rsid w:val="00571C73"/>
    <w:rsid w:val="00572505"/>
    <w:rsid w:val="00572FA4"/>
    <w:rsid w:val="00573920"/>
    <w:rsid w:val="00573C3B"/>
    <w:rsid w:val="00573CFD"/>
    <w:rsid w:val="00573D3D"/>
    <w:rsid w:val="00574527"/>
    <w:rsid w:val="0057453B"/>
    <w:rsid w:val="00574D6F"/>
    <w:rsid w:val="00575264"/>
    <w:rsid w:val="0057587A"/>
    <w:rsid w:val="00575901"/>
    <w:rsid w:val="00575A3E"/>
    <w:rsid w:val="00575D33"/>
    <w:rsid w:val="00575DA6"/>
    <w:rsid w:val="00575E9A"/>
    <w:rsid w:val="0057640E"/>
    <w:rsid w:val="00576FB0"/>
    <w:rsid w:val="00577E3A"/>
    <w:rsid w:val="00580413"/>
    <w:rsid w:val="00580C77"/>
    <w:rsid w:val="00580D44"/>
    <w:rsid w:val="0058119C"/>
    <w:rsid w:val="005814C6"/>
    <w:rsid w:val="00581606"/>
    <w:rsid w:val="005817ED"/>
    <w:rsid w:val="00582446"/>
    <w:rsid w:val="005825E5"/>
    <w:rsid w:val="00582809"/>
    <w:rsid w:val="00582E5A"/>
    <w:rsid w:val="00583098"/>
    <w:rsid w:val="00583334"/>
    <w:rsid w:val="005835AB"/>
    <w:rsid w:val="00583B33"/>
    <w:rsid w:val="00583C4F"/>
    <w:rsid w:val="00583D71"/>
    <w:rsid w:val="00585303"/>
    <w:rsid w:val="005869B0"/>
    <w:rsid w:val="0058798C"/>
    <w:rsid w:val="00587C89"/>
    <w:rsid w:val="005900FA"/>
    <w:rsid w:val="005904F0"/>
    <w:rsid w:val="00591418"/>
    <w:rsid w:val="005915B3"/>
    <w:rsid w:val="00592A06"/>
    <w:rsid w:val="00592B54"/>
    <w:rsid w:val="005935A4"/>
    <w:rsid w:val="00593809"/>
    <w:rsid w:val="00593D1B"/>
    <w:rsid w:val="00593D4D"/>
    <w:rsid w:val="0059400F"/>
    <w:rsid w:val="005942A7"/>
    <w:rsid w:val="005945DB"/>
    <w:rsid w:val="005948C2"/>
    <w:rsid w:val="005953D5"/>
    <w:rsid w:val="005955F3"/>
    <w:rsid w:val="00595986"/>
    <w:rsid w:val="005959EC"/>
    <w:rsid w:val="00595DCA"/>
    <w:rsid w:val="00596845"/>
    <w:rsid w:val="00596CB3"/>
    <w:rsid w:val="005975B3"/>
    <w:rsid w:val="0059779B"/>
    <w:rsid w:val="00597A9F"/>
    <w:rsid w:val="005A062E"/>
    <w:rsid w:val="005A0B8C"/>
    <w:rsid w:val="005A18EC"/>
    <w:rsid w:val="005A209A"/>
    <w:rsid w:val="005A28ED"/>
    <w:rsid w:val="005A29A0"/>
    <w:rsid w:val="005A2A5C"/>
    <w:rsid w:val="005A2D52"/>
    <w:rsid w:val="005A501D"/>
    <w:rsid w:val="005A55D7"/>
    <w:rsid w:val="005A5DD4"/>
    <w:rsid w:val="005A60A3"/>
    <w:rsid w:val="005A62E7"/>
    <w:rsid w:val="005A662D"/>
    <w:rsid w:val="005A67B4"/>
    <w:rsid w:val="005A7736"/>
    <w:rsid w:val="005B10B9"/>
    <w:rsid w:val="005B180C"/>
    <w:rsid w:val="005B1993"/>
    <w:rsid w:val="005B20AF"/>
    <w:rsid w:val="005B241D"/>
    <w:rsid w:val="005B2A20"/>
    <w:rsid w:val="005B35D7"/>
    <w:rsid w:val="005B392A"/>
    <w:rsid w:val="005B3AA3"/>
    <w:rsid w:val="005B4BD9"/>
    <w:rsid w:val="005B4D3D"/>
    <w:rsid w:val="005B632C"/>
    <w:rsid w:val="005B6549"/>
    <w:rsid w:val="005B6DAD"/>
    <w:rsid w:val="005B6F01"/>
    <w:rsid w:val="005B6F83"/>
    <w:rsid w:val="005B71AE"/>
    <w:rsid w:val="005B73FF"/>
    <w:rsid w:val="005B7923"/>
    <w:rsid w:val="005C03D2"/>
    <w:rsid w:val="005C117E"/>
    <w:rsid w:val="005C1AFC"/>
    <w:rsid w:val="005C26BD"/>
    <w:rsid w:val="005C2ECC"/>
    <w:rsid w:val="005C39B0"/>
    <w:rsid w:val="005C3A4D"/>
    <w:rsid w:val="005C5459"/>
    <w:rsid w:val="005C60E0"/>
    <w:rsid w:val="005C615F"/>
    <w:rsid w:val="005C6403"/>
    <w:rsid w:val="005C74FB"/>
    <w:rsid w:val="005C7584"/>
    <w:rsid w:val="005C75F9"/>
    <w:rsid w:val="005C7D9B"/>
    <w:rsid w:val="005D1165"/>
    <w:rsid w:val="005D1602"/>
    <w:rsid w:val="005D1746"/>
    <w:rsid w:val="005D30B4"/>
    <w:rsid w:val="005D321A"/>
    <w:rsid w:val="005D3514"/>
    <w:rsid w:val="005D42E7"/>
    <w:rsid w:val="005D5882"/>
    <w:rsid w:val="005D59FF"/>
    <w:rsid w:val="005D7169"/>
    <w:rsid w:val="005D79C7"/>
    <w:rsid w:val="005E0283"/>
    <w:rsid w:val="005E0815"/>
    <w:rsid w:val="005E0C95"/>
    <w:rsid w:val="005E0D87"/>
    <w:rsid w:val="005E0E1E"/>
    <w:rsid w:val="005E1404"/>
    <w:rsid w:val="005E1F97"/>
    <w:rsid w:val="005E2FE0"/>
    <w:rsid w:val="005E341E"/>
    <w:rsid w:val="005E35ED"/>
    <w:rsid w:val="005E385F"/>
    <w:rsid w:val="005E4060"/>
    <w:rsid w:val="005E4B93"/>
    <w:rsid w:val="005E4C5F"/>
    <w:rsid w:val="005E5A0F"/>
    <w:rsid w:val="005E5B81"/>
    <w:rsid w:val="005E65EC"/>
    <w:rsid w:val="005E6E38"/>
    <w:rsid w:val="005E7B07"/>
    <w:rsid w:val="005E7F57"/>
    <w:rsid w:val="005F0182"/>
    <w:rsid w:val="005F1EF4"/>
    <w:rsid w:val="005F280F"/>
    <w:rsid w:val="005F299E"/>
    <w:rsid w:val="005F2CB1"/>
    <w:rsid w:val="005F3025"/>
    <w:rsid w:val="005F3F57"/>
    <w:rsid w:val="005F48EC"/>
    <w:rsid w:val="005F4D4C"/>
    <w:rsid w:val="005F618C"/>
    <w:rsid w:val="005F6CA6"/>
    <w:rsid w:val="005F6CFF"/>
    <w:rsid w:val="005F7096"/>
    <w:rsid w:val="005F70BD"/>
    <w:rsid w:val="0060040B"/>
    <w:rsid w:val="00600AEA"/>
    <w:rsid w:val="006017F6"/>
    <w:rsid w:val="0060205F"/>
    <w:rsid w:val="0060283C"/>
    <w:rsid w:val="006047FE"/>
    <w:rsid w:val="00604B61"/>
    <w:rsid w:val="00604CA9"/>
    <w:rsid w:val="00604F14"/>
    <w:rsid w:val="0060518E"/>
    <w:rsid w:val="00605705"/>
    <w:rsid w:val="006069F5"/>
    <w:rsid w:val="00607B3F"/>
    <w:rsid w:val="00610252"/>
    <w:rsid w:val="0061060D"/>
    <w:rsid w:val="00610CE3"/>
    <w:rsid w:val="00611B83"/>
    <w:rsid w:val="006123CC"/>
    <w:rsid w:val="00612729"/>
    <w:rsid w:val="00612CC5"/>
    <w:rsid w:val="00613257"/>
    <w:rsid w:val="006141D3"/>
    <w:rsid w:val="00614936"/>
    <w:rsid w:val="00614EBF"/>
    <w:rsid w:val="0061569D"/>
    <w:rsid w:val="00615D33"/>
    <w:rsid w:val="00615DD1"/>
    <w:rsid w:val="006172DD"/>
    <w:rsid w:val="0061774D"/>
    <w:rsid w:val="00617D79"/>
    <w:rsid w:val="00617F7E"/>
    <w:rsid w:val="006201A1"/>
    <w:rsid w:val="0062064A"/>
    <w:rsid w:val="00620A53"/>
    <w:rsid w:val="00620A71"/>
    <w:rsid w:val="00620D80"/>
    <w:rsid w:val="006215E9"/>
    <w:rsid w:val="00621663"/>
    <w:rsid w:val="00621C19"/>
    <w:rsid w:val="006223D1"/>
    <w:rsid w:val="00622A45"/>
    <w:rsid w:val="006234A6"/>
    <w:rsid w:val="00623BE6"/>
    <w:rsid w:val="00624A4C"/>
    <w:rsid w:val="00625742"/>
    <w:rsid w:val="006265D0"/>
    <w:rsid w:val="006274AC"/>
    <w:rsid w:val="00627514"/>
    <w:rsid w:val="006278D1"/>
    <w:rsid w:val="00627BB4"/>
    <w:rsid w:val="00630001"/>
    <w:rsid w:val="006310BE"/>
    <w:rsid w:val="006311B3"/>
    <w:rsid w:val="00631541"/>
    <w:rsid w:val="00631EF2"/>
    <w:rsid w:val="0063284C"/>
    <w:rsid w:val="006333A0"/>
    <w:rsid w:val="00633C07"/>
    <w:rsid w:val="00633C74"/>
    <w:rsid w:val="00635C00"/>
    <w:rsid w:val="00635F3B"/>
    <w:rsid w:val="006362F9"/>
    <w:rsid w:val="00636398"/>
    <w:rsid w:val="006368D3"/>
    <w:rsid w:val="00636A88"/>
    <w:rsid w:val="00636B25"/>
    <w:rsid w:val="006377EC"/>
    <w:rsid w:val="00637953"/>
    <w:rsid w:val="00640F3B"/>
    <w:rsid w:val="0064151F"/>
    <w:rsid w:val="00641533"/>
    <w:rsid w:val="0064184C"/>
    <w:rsid w:val="0064208D"/>
    <w:rsid w:val="00642194"/>
    <w:rsid w:val="00642BBD"/>
    <w:rsid w:val="006430A2"/>
    <w:rsid w:val="00643475"/>
    <w:rsid w:val="0064396A"/>
    <w:rsid w:val="00645AF1"/>
    <w:rsid w:val="0064624E"/>
    <w:rsid w:val="0064649F"/>
    <w:rsid w:val="0064679A"/>
    <w:rsid w:val="00650556"/>
    <w:rsid w:val="00650AB9"/>
    <w:rsid w:val="00651053"/>
    <w:rsid w:val="006539D4"/>
    <w:rsid w:val="00654EB4"/>
    <w:rsid w:val="00655733"/>
    <w:rsid w:val="00655AAC"/>
    <w:rsid w:val="00655ACD"/>
    <w:rsid w:val="0065611F"/>
    <w:rsid w:val="00656A92"/>
    <w:rsid w:val="00656DDE"/>
    <w:rsid w:val="00656E3C"/>
    <w:rsid w:val="006576CA"/>
    <w:rsid w:val="0066011D"/>
    <w:rsid w:val="006602A9"/>
    <w:rsid w:val="006607C0"/>
    <w:rsid w:val="00660A16"/>
    <w:rsid w:val="006613A6"/>
    <w:rsid w:val="006616E5"/>
    <w:rsid w:val="00662051"/>
    <w:rsid w:val="00662760"/>
    <w:rsid w:val="006627A2"/>
    <w:rsid w:val="006634E6"/>
    <w:rsid w:val="0066393A"/>
    <w:rsid w:val="00663A78"/>
    <w:rsid w:val="0066528D"/>
    <w:rsid w:val="006655EE"/>
    <w:rsid w:val="00665BC9"/>
    <w:rsid w:val="00665D97"/>
    <w:rsid w:val="00665FFC"/>
    <w:rsid w:val="006663C0"/>
    <w:rsid w:val="0066661C"/>
    <w:rsid w:val="00666B33"/>
    <w:rsid w:val="00666D19"/>
    <w:rsid w:val="006674AE"/>
    <w:rsid w:val="006678A3"/>
    <w:rsid w:val="00667957"/>
    <w:rsid w:val="00667EE7"/>
    <w:rsid w:val="00670922"/>
    <w:rsid w:val="00670BE1"/>
    <w:rsid w:val="00671339"/>
    <w:rsid w:val="00671B77"/>
    <w:rsid w:val="0067218F"/>
    <w:rsid w:val="00672D95"/>
    <w:rsid w:val="006741F2"/>
    <w:rsid w:val="00674CC3"/>
    <w:rsid w:val="00675C72"/>
    <w:rsid w:val="00675D5C"/>
    <w:rsid w:val="006771F9"/>
    <w:rsid w:val="006776D7"/>
    <w:rsid w:val="006778AC"/>
    <w:rsid w:val="00680FE2"/>
    <w:rsid w:val="00681003"/>
    <w:rsid w:val="006813DA"/>
    <w:rsid w:val="006817C9"/>
    <w:rsid w:val="00681F05"/>
    <w:rsid w:val="00683424"/>
    <w:rsid w:val="006834D6"/>
    <w:rsid w:val="00683ECE"/>
    <w:rsid w:val="00685892"/>
    <w:rsid w:val="00685E85"/>
    <w:rsid w:val="00686B2C"/>
    <w:rsid w:val="00687116"/>
    <w:rsid w:val="00687BA5"/>
    <w:rsid w:val="006904B2"/>
    <w:rsid w:val="006905A9"/>
    <w:rsid w:val="0069067C"/>
    <w:rsid w:val="00691274"/>
    <w:rsid w:val="0069156D"/>
    <w:rsid w:val="0069160A"/>
    <w:rsid w:val="00693DB1"/>
    <w:rsid w:val="006950AE"/>
    <w:rsid w:val="00695126"/>
    <w:rsid w:val="006951A6"/>
    <w:rsid w:val="00695FC2"/>
    <w:rsid w:val="00696949"/>
    <w:rsid w:val="00696DED"/>
    <w:rsid w:val="00697052"/>
    <w:rsid w:val="00697DEE"/>
    <w:rsid w:val="006A14EF"/>
    <w:rsid w:val="006A16A9"/>
    <w:rsid w:val="006A2028"/>
    <w:rsid w:val="006A20D7"/>
    <w:rsid w:val="006A2465"/>
    <w:rsid w:val="006A3825"/>
    <w:rsid w:val="006A46FB"/>
    <w:rsid w:val="006A4DA7"/>
    <w:rsid w:val="006A5873"/>
    <w:rsid w:val="006A59D8"/>
    <w:rsid w:val="006A5E28"/>
    <w:rsid w:val="006A6585"/>
    <w:rsid w:val="006A66D2"/>
    <w:rsid w:val="006A697B"/>
    <w:rsid w:val="006A6A00"/>
    <w:rsid w:val="006A6D27"/>
    <w:rsid w:val="006A79B7"/>
    <w:rsid w:val="006A7AB8"/>
    <w:rsid w:val="006A7AFF"/>
    <w:rsid w:val="006A7CE6"/>
    <w:rsid w:val="006B014F"/>
    <w:rsid w:val="006B12E2"/>
    <w:rsid w:val="006B1816"/>
    <w:rsid w:val="006B1E2A"/>
    <w:rsid w:val="006B2025"/>
    <w:rsid w:val="006B2099"/>
    <w:rsid w:val="006B2DC1"/>
    <w:rsid w:val="006B2F21"/>
    <w:rsid w:val="006B305D"/>
    <w:rsid w:val="006B30FB"/>
    <w:rsid w:val="006B3B5C"/>
    <w:rsid w:val="006B40B9"/>
    <w:rsid w:val="006B4632"/>
    <w:rsid w:val="006B465E"/>
    <w:rsid w:val="006B50CF"/>
    <w:rsid w:val="006B5317"/>
    <w:rsid w:val="006B6E3D"/>
    <w:rsid w:val="006B717E"/>
    <w:rsid w:val="006B7B17"/>
    <w:rsid w:val="006B7C04"/>
    <w:rsid w:val="006C007F"/>
    <w:rsid w:val="006C03B8"/>
    <w:rsid w:val="006C0F0E"/>
    <w:rsid w:val="006C1AE8"/>
    <w:rsid w:val="006C232F"/>
    <w:rsid w:val="006C2580"/>
    <w:rsid w:val="006C26EE"/>
    <w:rsid w:val="006C2B9A"/>
    <w:rsid w:val="006C2C11"/>
    <w:rsid w:val="006C2FE9"/>
    <w:rsid w:val="006C3882"/>
    <w:rsid w:val="006C4EF3"/>
    <w:rsid w:val="006C5EC9"/>
    <w:rsid w:val="006C6059"/>
    <w:rsid w:val="006C6DC1"/>
    <w:rsid w:val="006C6FA3"/>
    <w:rsid w:val="006C7522"/>
    <w:rsid w:val="006D0117"/>
    <w:rsid w:val="006D0376"/>
    <w:rsid w:val="006D07BD"/>
    <w:rsid w:val="006D1F3C"/>
    <w:rsid w:val="006D21ED"/>
    <w:rsid w:val="006D27AF"/>
    <w:rsid w:val="006D3809"/>
    <w:rsid w:val="006D401F"/>
    <w:rsid w:val="006D554A"/>
    <w:rsid w:val="006D63F0"/>
    <w:rsid w:val="006D6F08"/>
    <w:rsid w:val="006D71ED"/>
    <w:rsid w:val="006D7522"/>
    <w:rsid w:val="006E062C"/>
    <w:rsid w:val="006E1511"/>
    <w:rsid w:val="006E1514"/>
    <w:rsid w:val="006E173C"/>
    <w:rsid w:val="006E18CD"/>
    <w:rsid w:val="006E2097"/>
    <w:rsid w:val="006E2288"/>
    <w:rsid w:val="006E268C"/>
    <w:rsid w:val="006E27EB"/>
    <w:rsid w:val="006E28B7"/>
    <w:rsid w:val="006E28C1"/>
    <w:rsid w:val="006E292F"/>
    <w:rsid w:val="006E2943"/>
    <w:rsid w:val="006E2DA0"/>
    <w:rsid w:val="006E3310"/>
    <w:rsid w:val="006E34C8"/>
    <w:rsid w:val="006E354A"/>
    <w:rsid w:val="006E4639"/>
    <w:rsid w:val="006E4E39"/>
    <w:rsid w:val="006E565E"/>
    <w:rsid w:val="006E5706"/>
    <w:rsid w:val="006E5A43"/>
    <w:rsid w:val="006E5C33"/>
    <w:rsid w:val="006E5C6A"/>
    <w:rsid w:val="006E673D"/>
    <w:rsid w:val="006E6B49"/>
    <w:rsid w:val="006E6F50"/>
    <w:rsid w:val="006E7549"/>
    <w:rsid w:val="006E76A3"/>
    <w:rsid w:val="006E7D3B"/>
    <w:rsid w:val="006F0C95"/>
    <w:rsid w:val="006F19BB"/>
    <w:rsid w:val="006F1B70"/>
    <w:rsid w:val="006F1E26"/>
    <w:rsid w:val="006F2499"/>
    <w:rsid w:val="006F2629"/>
    <w:rsid w:val="006F2D41"/>
    <w:rsid w:val="006F2F6B"/>
    <w:rsid w:val="006F341D"/>
    <w:rsid w:val="006F36DE"/>
    <w:rsid w:val="006F3CDE"/>
    <w:rsid w:val="006F4107"/>
    <w:rsid w:val="006F58D4"/>
    <w:rsid w:val="006F5FC0"/>
    <w:rsid w:val="006F651E"/>
    <w:rsid w:val="006F7B2C"/>
    <w:rsid w:val="0070162B"/>
    <w:rsid w:val="00701DCE"/>
    <w:rsid w:val="0070255B"/>
    <w:rsid w:val="0070346E"/>
    <w:rsid w:val="00703692"/>
    <w:rsid w:val="00703F40"/>
    <w:rsid w:val="00704EDB"/>
    <w:rsid w:val="00705702"/>
    <w:rsid w:val="00705832"/>
    <w:rsid w:val="00705C63"/>
    <w:rsid w:val="00705C6A"/>
    <w:rsid w:val="00705CCB"/>
    <w:rsid w:val="00706101"/>
    <w:rsid w:val="00707072"/>
    <w:rsid w:val="00707313"/>
    <w:rsid w:val="007075E3"/>
    <w:rsid w:val="00707D61"/>
    <w:rsid w:val="007106BB"/>
    <w:rsid w:val="007106E8"/>
    <w:rsid w:val="00710781"/>
    <w:rsid w:val="007110A6"/>
    <w:rsid w:val="007117A0"/>
    <w:rsid w:val="00711B6A"/>
    <w:rsid w:val="00712287"/>
    <w:rsid w:val="00712716"/>
    <w:rsid w:val="00712772"/>
    <w:rsid w:val="00712F0C"/>
    <w:rsid w:val="007148D3"/>
    <w:rsid w:val="00714B0C"/>
    <w:rsid w:val="007153A5"/>
    <w:rsid w:val="00715B9A"/>
    <w:rsid w:val="00715C1B"/>
    <w:rsid w:val="00715DD7"/>
    <w:rsid w:val="00717834"/>
    <w:rsid w:val="00717E83"/>
    <w:rsid w:val="00717FAA"/>
    <w:rsid w:val="00720669"/>
    <w:rsid w:val="0072126D"/>
    <w:rsid w:val="007226C6"/>
    <w:rsid w:val="007227B2"/>
    <w:rsid w:val="0072442E"/>
    <w:rsid w:val="00724495"/>
    <w:rsid w:val="00724CFB"/>
    <w:rsid w:val="007265F0"/>
    <w:rsid w:val="0072663A"/>
    <w:rsid w:val="00726EA6"/>
    <w:rsid w:val="00727106"/>
    <w:rsid w:val="007271A6"/>
    <w:rsid w:val="00727208"/>
    <w:rsid w:val="00727680"/>
    <w:rsid w:val="00731E3E"/>
    <w:rsid w:val="007320B8"/>
    <w:rsid w:val="007329F2"/>
    <w:rsid w:val="00733C4C"/>
    <w:rsid w:val="007341A3"/>
    <w:rsid w:val="00734282"/>
    <w:rsid w:val="007348B1"/>
    <w:rsid w:val="00734AAF"/>
    <w:rsid w:val="00734CB5"/>
    <w:rsid w:val="00735621"/>
    <w:rsid w:val="007362A6"/>
    <w:rsid w:val="00736D7D"/>
    <w:rsid w:val="00736E57"/>
    <w:rsid w:val="00736FE0"/>
    <w:rsid w:val="00737FB0"/>
    <w:rsid w:val="007406C4"/>
    <w:rsid w:val="00740E58"/>
    <w:rsid w:val="0074138A"/>
    <w:rsid w:val="00741946"/>
    <w:rsid w:val="00741C84"/>
    <w:rsid w:val="00742081"/>
    <w:rsid w:val="00742802"/>
    <w:rsid w:val="0074315E"/>
    <w:rsid w:val="007438C8"/>
    <w:rsid w:val="00743CD4"/>
    <w:rsid w:val="00743FB7"/>
    <w:rsid w:val="00744326"/>
    <w:rsid w:val="0074459E"/>
    <w:rsid w:val="007445A0"/>
    <w:rsid w:val="0074524B"/>
    <w:rsid w:val="00745912"/>
    <w:rsid w:val="00745D66"/>
    <w:rsid w:val="00745F12"/>
    <w:rsid w:val="007463C6"/>
    <w:rsid w:val="00747D8B"/>
    <w:rsid w:val="0075042E"/>
    <w:rsid w:val="007511F8"/>
    <w:rsid w:val="00751228"/>
    <w:rsid w:val="00751497"/>
    <w:rsid w:val="007521C1"/>
    <w:rsid w:val="0075233F"/>
    <w:rsid w:val="00752CD4"/>
    <w:rsid w:val="00752FB3"/>
    <w:rsid w:val="0075331F"/>
    <w:rsid w:val="00753486"/>
    <w:rsid w:val="00754114"/>
    <w:rsid w:val="007543BC"/>
    <w:rsid w:val="007550B2"/>
    <w:rsid w:val="00756779"/>
    <w:rsid w:val="007571E1"/>
    <w:rsid w:val="007573DE"/>
    <w:rsid w:val="00757707"/>
    <w:rsid w:val="007604B2"/>
    <w:rsid w:val="007604D0"/>
    <w:rsid w:val="00760B4A"/>
    <w:rsid w:val="0076150A"/>
    <w:rsid w:val="00761B49"/>
    <w:rsid w:val="007622DB"/>
    <w:rsid w:val="0076299E"/>
    <w:rsid w:val="00762C02"/>
    <w:rsid w:val="00763983"/>
    <w:rsid w:val="00764180"/>
    <w:rsid w:val="00765281"/>
    <w:rsid w:val="0076612B"/>
    <w:rsid w:val="00766286"/>
    <w:rsid w:val="007666E8"/>
    <w:rsid w:val="00766BAD"/>
    <w:rsid w:val="00766CF7"/>
    <w:rsid w:val="007679AE"/>
    <w:rsid w:val="00767D83"/>
    <w:rsid w:val="007707E7"/>
    <w:rsid w:val="00772B23"/>
    <w:rsid w:val="0077381A"/>
    <w:rsid w:val="00773F3C"/>
    <w:rsid w:val="00774466"/>
    <w:rsid w:val="00774D29"/>
    <w:rsid w:val="007755F2"/>
    <w:rsid w:val="00775DF8"/>
    <w:rsid w:val="007764C2"/>
    <w:rsid w:val="00776705"/>
    <w:rsid w:val="00776971"/>
    <w:rsid w:val="00776AA2"/>
    <w:rsid w:val="00776EE9"/>
    <w:rsid w:val="00777255"/>
    <w:rsid w:val="007775CC"/>
    <w:rsid w:val="00777D37"/>
    <w:rsid w:val="00777F7A"/>
    <w:rsid w:val="00780489"/>
    <w:rsid w:val="0078111D"/>
    <w:rsid w:val="0078177E"/>
    <w:rsid w:val="00782646"/>
    <w:rsid w:val="00783001"/>
    <w:rsid w:val="0078304C"/>
    <w:rsid w:val="0078354C"/>
    <w:rsid w:val="00783673"/>
    <w:rsid w:val="0078405B"/>
    <w:rsid w:val="00784312"/>
    <w:rsid w:val="00785490"/>
    <w:rsid w:val="00786620"/>
    <w:rsid w:val="00786A31"/>
    <w:rsid w:val="007871D7"/>
    <w:rsid w:val="0079009A"/>
    <w:rsid w:val="007909FB"/>
    <w:rsid w:val="00790B99"/>
    <w:rsid w:val="00790CD0"/>
    <w:rsid w:val="0079178C"/>
    <w:rsid w:val="00791BBB"/>
    <w:rsid w:val="007925EA"/>
    <w:rsid w:val="00792764"/>
    <w:rsid w:val="00792A8D"/>
    <w:rsid w:val="00792A8F"/>
    <w:rsid w:val="00793810"/>
    <w:rsid w:val="00793977"/>
    <w:rsid w:val="00793CD8"/>
    <w:rsid w:val="0079428B"/>
    <w:rsid w:val="00795679"/>
    <w:rsid w:val="00795C92"/>
    <w:rsid w:val="007960A1"/>
    <w:rsid w:val="00796231"/>
    <w:rsid w:val="00796317"/>
    <w:rsid w:val="00796573"/>
    <w:rsid w:val="00796ADC"/>
    <w:rsid w:val="00796B93"/>
    <w:rsid w:val="00796CA9"/>
    <w:rsid w:val="007A1CB3"/>
    <w:rsid w:val="007A306F"/>
    <w:rsid w:val="007A321A"/>
    <w:rsid w:val="007A3CE3"/>
    <w:rsid w:val="007A4100"/>
    <w:rsid w:val="007A43A6"/>
    <w:rsid w:val="007A4693"/>
    <w:rsid w:val="007A58A6"/>
    <w:rsid w:val="007A5B38"/>
    <w:rsid w:val="007A5EBB"/>
    <w:rsid w:val="007A5FBC"/>
    <w:rsid w:val="007A6180"/>
    <w:rsid w:val="007A6A52"/>
    <w:rsid w:val="007A79B2"/>
    <w:rsid w:val="007A7B4F"/>
    <w:rsid w:val="007B1A8E"/>
    <w:rsid w:val="007B3014"/>
    <w:rsid w:val="007B33DA"/>
    <w:rsid w:val="007B3964"/>
    <w:rsid w:val="007B3D2D"/>
    <w:rsid w:val="007B42E6"/>
    <w:rsid w:val="007B4E64"/>
    <w:rsid w:val="007B50AE"/>
    <w:rsid w:val="007B518D"/>
    <w:rsid w:val="007B51DF"/>
    <w:rsid w:val="007B65CE"/>
    <w:rsid w:val="007B6D86"/>
    <w:rsid w:val="007B7374"/>
    <w:rsid w:val="007B774B"/>
    <w:rsid w:val="007B7D25"/>
    <w:rsid w:val="007B7EC6"/>
    <w:rsid w:val="007C031E"/>
    <w:rsid w:val="007C05DD"/>
    <w:rsid w:val="007C0D39"/>
    <w:rsid w:val="007C11D9"/>
    <w:rsid w:val="007C310D"/>
    <w:rsid w:val="007C397F"/>
    <w:rsid w:val="007C3AB9"/>
    <w:rsid w:val="007C3D18"/>
    <w:rsid w:val="007C4317"/>
    <w:rsid w:val="007C47AB"/>
    <w:rsid w:val="007C54AD"/>
    <w:rsid w:val="007C5E89"/>
    <w:rsid w:val="007C60BF"/>
    <w:rsid w:val="007C6A07"/>
    <w:rsid w:val="007C75A1"/>
    <w:rsid w:val="007C771D"/>
    <w:rsid w:val="007C77A5"/>
    <w:rsid w:val="007D04E5"/>
    <w:rsid w:val="007D09D8"/>
    <w:rsid w:val="007D3240"/>
    <w:rsid w:val="007D36AD"/>
    <w:rsid w:val="007D3E7E"/>
    <w:rsid w:val="007D3F0E"/>
    <w:rsid w:val="007D53AD"/>
    <w:rsid w:val="007D5901"/>
    <w:rsid w:val="007D5983"/>
    <w:rsid w:val="007D6813"/>
    <w:rsid w:val="007D6B14"/>
    <w:rsid w:val="007D6B5B"/>
    <w:rsid w:val="007D7163"/>
    <w:rsid w:val="007D74BA"/>
    <w:rsid w:val="007D7526"/>
    <w:rsid w:val="007D7BC4"/>
    <w:rsid w:val="007D7F1E"/>
    <w:rsid w:val="007E0323"/>
    <w:rsid w:val="007E0479"/>
    <w:rsid w:val="007E06B8"/>
    <w:rsid w:val="007E09A3"/>
    <w:rsid w:val="007E09A4"/>
    <w:rsid w:val="007E11E0"/>
    <w:rsid w:val="007E196F"/>
    <w:rsid w:val="007E320C"/>
    <w:rsid w:val="007E4610"/>
    <w:rsid w:val="007E4715"/>
    <w:rsid w:val="007E47D9"/>
    <w:rsid w:val="007E4B43"/>
    <w:rsid w:val="007E4CB4"/>
    <w:rsid w:val="007E505B"/>
    <w:rsid w:val="007E567A"/>
    <w:rsid w:val="007E5C39"/>
    <w:rsid w:val="007E69CF"/>
    <w:rsid w:val="007E6BD7"/>
    <w:rsid w:val="007E6C01"/>
    <w:rsid w:val="007E6F7D"/>
    <w:rsid w:val="007E7091"/>
    <w:rsid w:val="007E7E02"/>
    <w:rsid w:val="007F00BD"/>
    <w:rsid w:val="007F0677"/>
    <w:rsid w:val="007F072E"/>
    <w:rsid w:val="007F13C4"/>
    <w:rsid w:val="007F2854"/>
    <w:rsid w:val="007F285D"/>
    <w:rsid w:val="007F3E43"/>
    <w:rsid w:val="007F4D97"/>
    <w:rsid w:val="007F54BC"/>
    <w:rsid w:val="007F6A23"/>
    <w:rsid w:val="007F75D5"/>
    <w:rsid w:val="00800863"/>
    <w:rsid w:val="00800B33"/>
    <w:rsid w:val="00801ABE"/>
    <w:rsid w:val="00801B95"/>
    <w:rsid w:val="00801F6F"/>
    <w:rsid w:val="00802632"/>
    <w:rsid w:val="00802D70"/>
    <w:rsid w:val="00803122"/>
    <w:rsid w:val="008035D0"/>
    <w:rsid w:val="008035F7"/>
    <w:rsid w:val="00803A3C"/>
    <w:rsid w:val="00803C09"/>
    <w:rsid w:val="00803FAE"/>
    <w:rsid w:val="00804460"/>
    <w:rsid w:val="00805150"/>
    <w:rsid w:val="008054E8"/>
    <w:rsid w:val="00805AB5"/>
    <w:rsid w:val="0080605F"/>
    <w:rsid w:val="008063CC"/>
    <w:rsid w:val="00806EE7"/>
    <w:rsid w:val="0080717D"/>
    <w:rsid w:val="00807786"/>
    <w:rsid w:val="008079B6"/>
    <w:rsid w:val="00810851"/>
    <w:rsid w:val="00810A3F"/>
    <w:rsid w:val="008112E8"/>
    <w:rsid w:val="00811B55"/>
    <w:rsid w:val="00811BBF"/>
    <w:rsid w:val="00811FCB"/>
    <w:rsid w:val="008122CE"/>
    <w:rsid w:val="00812347"/>
    <w:rsid w:val="00812372"/>
    <w:rsid w:val="00812969"/>
    <w:rsid w:val="00813ECF"/>
    <w:rsid w:val="00814DF6"/>
    <w:rsid w:val="00815879"/>
    <w:rsid w:val="008158D6"/>
    <w:rsid w:val="0081655B"/>
    <w:rsid w:val="00816A98"/>
    <w:rsid w:val="00817196"/>
    <w:rsid w:val="00817D6E"/>
    <w:rsid w:val="008209FB"/>
    <w:rsid w:val="00821491"/>
    <w:rsid w:val="008226E3"/>
    <w:rsid w:val="00822C78"/>
    <w:rsid w:val="008234DE"/>
    <w:rsid w:val="008235DB"/>
    <w:rsid w:val="00823CAD"/>
    <w:rsid w:val="00823D3A"/>
    <w:rsid w:val="00824AB4"/>
    <w:rsid w:val="00824B3E"/>
    <w:rsid w:val="008256C9"/>
    <w:rsid w:val="00825C42"/>
    <w:rsid w:val="00825D25"/>
    <w:rsid w:val="00826C16"/>
    <w:rsid w:val="008274D1"/>
    <w:rsid w:val="00827D6F"/>
    <w:rsid w:val="00830090"/>
    <w:rsid w:val="00830EF3"/>
    <w:rsid w:val="00831570"/>
    <w:rsid w:val="008321B2"/>
    <w:rsid w:val="00834689"/>
    <w:rsid w:val="00834C09"/>
    <w:rsid w:val="0083513F"/>
    <w:rsid w:val="00835144"/>
    <w:rsid w:val="00835401"/>
    <w:rsid w:val="00835CB1"/>
    <w:rsid w:val="0083611C"/>
    <w:rsid w:val="008365BB"/>
    <w:rsid w:val="008370EA"/>
    <w:rsid w:val="0083717A"/>
    <w:rsid w:val="008376AC"/>
    <w:rsid w:val="008403CE"/>
    <w:rsid w:val="0084163D"/>
    <w:rsid w:val="00841803"/>
    <w:rsid w:val="0084233B"/>
    <w:rsid w:val="00842B72"/>
    <w:rsid w:val="00842EA5"/>
    <w:rsid w:val="008431F0"/>
    <w:rsid w:val="008432B0"/>
    <w:rsid w:val="00843BE1"/>
    <w:rsid w:val="00843E16"/>
    <w:rsid w:val="0084427E"/>
    <w:rsid w:val="008444E8"/>
    <w:rsid w:val="00844E80"/>
    <w:rsid w:val="00846FE7"/>
    <w:rsid w:val="00847472"/>
    <w:rsid w:val="00847AD7"/>
    <w:rsid w:val="00850702"/>
    <w:rsid w:val="00850D54"/>
    <w:rsid w:val="008516B4"/>
    <w:rsid w:val="0085246D"/>
    <w:rsid w:val="00852BBD"/>
    <w:rsid w:val="008535E7"/>
    <w:rsid w:val="00854E76"/>
    <w:rsid w:val="00855B2F"/>
    <w:rsid w:val="00855DEA"/>
    <w:rsid w:val="00856911"/>
    <w:rsid w:val="00856AAA"/>
    <w:rsid w:val="00856E89"/>
    <w:rsid w:val="00857460"/>
    <w:rsid w:val="00860CEA"/>
    <w:rsid w:val="00860F05"/>
    <w:rsid w:val="00862B39"/>
    <w:rsid w:val="0086394F"/>
    <w:rsid w:val="008641C6"/>
    <w:rsid w:val="00865E18"/>
    <w:rsid w:val="00866BC0"/>
    <w:rsid w:val="008677FD"/>
    <w:rsid w:val="00867A5A"/>
    <w:rsid w:val="008706D4"/>
    <w:rsid w:val="00870833"/>
    <w:rsid w:val="00870918"/>
    <w:rsid w:val="00870B5D"/>
    <w:rsid w:val="00870DCD"/>
    <w:rsid w:val="00870DE1"/>
    <w:rsid w:val="00870F8A"/>
    <w:rsid w:val="008719A4"/>
    <w:rsid w:val="00871D23"/>
    <w:rsid w:val="00873CEF"/>
    <w:rsid w:val="00874312"/>
    <w:rsid w:val="0087437C"/>
    <w:rsid w:val="008745F7"/>
    <w:rsid w:val="0087501D"/>
    <w:rsid w:val="00875394"/>
    <w:rsid w:val="008758A4"/>
    <w:rsid w:val="00875B84"/>
    <w:rsid w:val="00875CD7"/>
    <w:rsid w:val="0087641E"/>
    <w:rsid w:val="008769BE"/>
    <w:rsid w:val="00876B4D"/>
    <w:rsid w:val="00876F50"/>
    <w:rsid w:val="0087733C"/>
    <w:rsid w:val="00877F18"/>
    <w:rsid w:val="00877F78"/>
    <w:rsid w:val="00881905"/>
    <w:rsid w:val="00881AA5"/>
    <w:rsid w:val="00881F11"/>
    <w:rsid w:val="00882A35"/>
    <w:rsid w:val="0088405A"/>
    <w:rsid w:val="008859E6"/>
    <w:rsid w:val="008860EF"/>
    <w:rsid w:val="00886491"/>
    <w:rsid w:val="0088649C"/>
    <w:rsid w:val="00886C30"/>
    <w:rsid w:val="008874AD"/>
    <w:rsid w:val="008917B3"/>
    <w:rsid w:val="00891D41"/>
    <w:rsid w:val="00891F4D"/>
    <w:rsid w:val="00892536"/>
    <w:rsid w:val="00893DFA"/>
    <w:rsid w:val="0089445F"/>
    <w:rsid w:val="00894A88"/>
    <w:rsid w:val="00894B5A"/>
    <w:rsid w:val="00895386"/>
    <w:rsid w:val="00895E39"/>
    <w:rsid w:val="008970BE"/>
    <w:rsid w:val="00897841"/>
    <w:rsid w:val="008A0A1C"/>
    <w:rsid w:val="008A1446"/>
    <w:rsid w:val="008A16E5"/>
    <w:rsid w:val="008A1D9D"/>
    <w:rsid w:val="008A21FF"/>
    <w:rsid w:val="008A29AB"/>
    <w:rsid w:val="008A2CE2"/>
    <w:rsid w:val="008A30AC"/>
    <w:rsid w:val="008A44B8"/>
    <w:rsid w:val="008A51A8"/>
    <w:rsid w:val="008A54C7"/>
    <w:rsid w:val="008A5DF5"/>
    <w:rsid w:val="008A609B"/>
    <w:rsid w:val="008A7077"/>
    <w:rsid w:val="008A76F3"/>
    <w:rsid w:val="008A77D8"/>
    <w:rsid w:val="008B0483"/>
    <w:rsid w:val="008B120C"/>
    <w:rsid w:val="008B22B7"/>
    <w:rsid w:val="008B2C63"/>
    <w:rsid w:val="008B3400"/>
    <w:rsid w:val="008B34DF"/>
    <w:rsid w:val="008B3A9F"/>
    <w:rsid w:val="008B40CF"/>
    <w:rsid w:val="008B4AE9"/>
    <w:rsid w:val="008B51A0"/>
    <w:rsid w:val="008B5268"/>
    <w:rsid w:val="008B592A"/>
    <w:rsid w:val="008B616A"/>
    <w:rsid w:val="008B770C"/>
    <w:rsid w:val="008B77E8"/>
    <w:rsid w:val="008B7B5C"/>
    <w:rsid w:val="008B7D7E"/>
    <w:rsid w:val="008C087A"/>
    <w:rsid w:val="008C0AD7"/>
    <w:rsid w:val="008C0C99"/>
    <w:rsid w:val="008C0CB0"/>
    <w:rsid w:val="008C2017"/>
    <w:rsid w:val="008C2913"/>
    <w:rsid w:val="008C3191"/>
    <w:rsid w:val="008C3EB0"/>
    <w:rsid w:val="008C4958"/>
    <w:rsid w:val="008C4BAA"/>
    <w:rsid w:val="008C5641"/>
    <w:rsid w:val="008C6466"/>
    <w:rsid w:val="008C6AE8"/>
    <w:rsid w:val="008C7213"/>
    <w:rsid w:val="008C7573"/>
    <w:rsid w:val="008C7750"/>
    <w:rsid w:val="008D0A2F"/>
    <w:rsid w:val="008D0E6C"/>
    <w:rsid w:val="008D10E2"/>
    <w:rsid w:val="008D2BA4"/>
    <w:rsid w:val="008D34F1"/>
    <w:rsid w:val="008D39D8"/>
    <w:rsid w:val="008D412E"/>
    <w:rsid w:val="008D4254"/>
    <w:rsid w:val="008D5015"/>
    <w:rsid w:val="008D543D"/>
    <w:rsid w:val="008D5DD5"/>
    <w:rsid w:val="008D6A80"/>
    <w:rsid w:val="008D6D1A"/>
    <w:rsid w:val="008D73EC"/>
    <w:rsid w:val="008D7CBC"/>
    <w:rsid w:val="008D7CC0"/>
    <w:rsid w:val="008E0332"/>
    <w:rsid w:val="008E065E"/>
    <w:rsid w:val="008E0927"/>
    <w:rsid w:val="008E09D0"/>
    <w:rsid w:val="008E0CF8"/>
    <w:rsid w:val="008E17FA"/>
    <w:rsid w:val="008E1909"/>
    <w:rsid w:val="008E1AA3"/>
    <w:rsid w:val="008E2A3E"/>
    <w:rsid w:val="008E38BC"/>
    <w:rsid w:val="008E3C4A"/>
    <w:rsid w:val="008E3E49"/>
    <w:rsid w:val="008E65AE"/>
    <w:rsid w:val="008E6A0E"/>
    <w:rsid w:val="008E7065"/>
    <w:rsid w:val="008E72EF"/>
    <w:rsid w:val="008E7345"/>
    <w:rsid w:val="008F026D"/>
    <w:rsid w:val="008F0E97"/>
    <w:rsid w:val="008F0EA2"/>
    <w:rsid w:val="008F109F"/>
    <w:rsid w:val="008F1230"/>
    <w:rsid w:val="008F1EAB"/>
    <w:rsid w:val="008F234C"/>
    <w:rsid w:val="008F2A64"/>
    <w:rsid w:val="008F30B4"/>
    <w:rsid w:val="008F33DC"/>
    <w:rsid w:val="008F3471"/>
    <w:rsid w:val="008F3A73"/>
    <w:rsid w:val="008F477F"/>
    <w:rsid w:val="008F50FE"/>
    <w:rsid w:val="008F58CA"/>
    <w:rsid w:val="008F68E1"/>
    <w:rsid w:val="008F733B"/>
    <w:rsid w:val="008F7E1E"/>
    <w:rsid w:val="00900100"/>
    <w:rsid w:val="009004EF"/>
    <w:rsid w:val="00900646"/>
    <w:rsid w:val="00901101"/>
    <w:rsid w:val="00901115"/>
    <w:rsid w:val="00902350"/>
    <w:rsid w:val="0090235A"/>
    <w:rsid w:val="00902831"/>
    <w:rsid w:val="0090336B"/>
    <w:rsid w:val="00903B8C"/>
    <w:rsid w:val="00903FAB"/>
    <w:rsid w:val="00904CFD"/>
    <w:rsid w:val="00904F69"/>
    <w:rsid w:val="009053AA"/>
    <w:rsid w:val="00905480"/>
    <w:rsid w:val="00905A2A"/>
    <w:rsid w:val="00906115"/>
    <w:rsid w:val="0090621A"/>
    <w:rsid w:val="00906939"/>
    <w:rsid w:val="00906E8B"/>
    <w:rsid w:val="00906F77"/>
    <w:rsid w:val="0091056D"/>
    <w:rsid w:val="009106D0"/>
    <w:rsid w:val="00910B7D"/>
    <w:rsid w:val="0091165B"/>
    <w:rsid w:val="00911DFB"/>
    <w:rsid w:val="009138F9"/>
    <w:rsid w:val="009139D9"/>
    <w:rsid w:val="00913D57"/>
    <w:rsid w:val="00913F0C"/>
    <w:rsid w:val="009146BA"/>
    <w:rsid w:val="009148E6"/>
    <w:rsid w:val="00914AD8"/>
    <w:rsid w:val="00915347"/>
    <w:rsid w:val="00915D87"/>
    <w:rsid w:val="00916079"/>
    <w:rsid w:val="00916118"/>
    <w:rsid w:val="0091681F"/>
    <w:rsid w:val="00917A3B"/>
    <w:rsid w:val="00917CE9"/>
    <w:rsid w:val="009208D7"/>
    <w:rsid w:val="00920BF2"/>
    <w:rsid w:val="00921B8B"/>
    <w:rsid w:val="00921CB0"/>
    <w:rsid w:val="00921CB2"/>
    <w:rsid w:val="00922010"/>
    <w:rsid w:val="00922182"/>
    <w:rsid w:val="00922605"/>
    <w:rsid w:val="00922682"/>
    <w:rsid w:val="00922862"/>
    <w:rsid w:val="00923793"/>
    <w:rsid w:val="00923D9F"/>
    <w:rsid w:val="0092452F"/>
    <w:rsid w:val="009246C5"/>
    <w:rsid w:val="00924DC4"/>
    <w:rsid w:val="00925693"/>
    <w:rsid w:val="0092653C"/>
    <w:rsid w:val="00927EEC"/>
    <w:rsid w:val="00930CC5"/>
    <w:rsid w:val="00931BD9"/>
    <w:rsid w:val="00931E21"/>
    <w:rsid w:val="00932014"/>
    <w:rsid w:val="009320DB"/>
    <w:rsid w:val="00932407"/>
    <w:rsid w:val="00933650"/>
    <w:rsid w:val="00933794"/>
    <w:rsid w:val="00933CD3"/>
    <w:rsid w:val="00934730"/>
    <w:rsid w:val="009352C2"/>
    <w:rsid w:val="00935739"/>
    <w:rsid w:val="00935D8C"/>
    <w:rsid w:val="00935E05"/>
    <w:rsid w:val="00936526"/>
    <w:rsid w:val="0093655D"/>
    <w:rsid w:val="009368F3"/>
    <w:rsid w:val="00936C4A"/>
    <w:rsid w:val="00936EEB"/>
    <w:rsid w:val="00940AFF"/>
    <w:rsid w:val="00940CCD"/>
    <w:rsid w:val="00941636"/>
    <w:rsid w:val="00942F42"/>
    <w:rsid w:val="009431A5"/>
    <w:rsid w:val="0094364B"/>
    <w:rsid w:val="00943742"/>
    <w:rsid w:val="00943AC6"/>
    <w:rsid w:val="00944093"/>
    <w:rsid w:val="00944290"/>
    <w:rsid w:val="00944562"/>
    <w:rsid w:val="009446B6"/>
    <w:rsid w:val="00945112"/>
    <w:rsid w:val="00945C05"/>
    <w:rsid w:val="00945DBB"/>
    <w:rsid w:val="00946945"/>
    <w:rsid w:val="00946984"/>
    <w:rsid w:val="00946AFF"/>
    <w:rsid w:val="00947713"/>
    <w:rsid w:val="00947990"/>
    <w:rsid w:val="009479AA"/>
    <w:rsid w:val="00947DDD"/>
    <w:rsid w:val="00950953"/>
    <w:rsid w:val="00950DE7"/>
    <w:rsid w:val="00952528"/>
    <w:rsid w:val="0095273A"/>
    <w:rsid w:val="00952A24"/>
    <w:rsid w:val="00953920"/>
    <w:rsid w:val="00953D47"/>
    <w:rsid w:val="00954B20"/>
    <w:rsid w:val="0095532E"/>
    <w:rsid w:val="0095546E"/>
    <w:rsid w:val="00955DDD"/>
    <w:rsid w:val="0095681E"/>
    <w:rsid w:val="009572D4"/>
    <w:rsid w:val="0096054B"/>
    <w:rsid w:val="00960FAA"/>
    <w:rsid w:val="00960FE3"/>
    <w:rsid w:val="00961091"/>
    <w:rsid w:val="009614AE"/>
    <w:rsid w:val="00961921"/>
    <w:rsid w:val="009623D7"/>
    <w:rsid w:val="0096260D"/>
    <w:rsid w:val="00962788"/>
    <w:rsid w:val="0096331A"/>
    <w:rsid w:val="0096430A"/>
    <w:rsid w:val="009644FF"/>
    <w:rsid w:val="009647C7"/>
    <w:rsid w:val="00964BAE"/>
    <w:rsid w:val="00964FB6"/>
    <w:rsid w:val="00964FEB"/>
    <w:rsid w:val="00965176"/>
    <w:rsid w:val="0096554B"/>
    <w:rsid w:val="009656CD"/>
    <w:rsid w:val="0096584A"/>
    <w:rsid w:val="00966169"/>
    <w:rsid w:val="009663B7"/>
    <w:rsid w:val="00966833"/>
    <w:rsid w:val="00967713"/>
    <w:rsid w:val="009700F2"/>
    <w:rsid w:val="00970E18"/>
    <w:rsid w:val="00971F08"/>
    <w:rsid w:val="0097311C"/>
    <w:rsid w:val="00973C34"/>
    <w:rsid w:val="0097493A"/>
    <w:rsid w:val="00974DB1"/>
    <w:rsid w:val="009750F2"/>
    <w:rsid w:val="0097588F"/>
    <w:rsid w:val="00975F5D"/>
    <w:rsid w:val="0097603D"/>
    <w:rsid w:val="00976406"/>
    <w:rsid w:val="00976949"/>
    <w:rsid w:val="009770F2"/>
    <w:rsid w:val="00980092"/>
    <w:rsid w:val="00980321"/>
    <w:rsid w:val="00980477"/>
    <w:rsid w:val="009815E8"/>
    <w:rsid w:val="00982379"/>
    <w:rsid w:val="0098272F"/>
    <w:rsid w:val="00982946"/>
    <w:rsid w:val="00982BBC"/>
    <w:rsid w:val="009839A9"/>
    <w:rsid w:val="009839B1"/>
    <w:rsid w:val="00985253"/>
    <w:rsid w:val="009853B3"/>
    <w:rsid w:val="009853CE"/>
    <w:rsid w:val="00985BFD"/>
    <w:rsid w:val="00986196"/>
    <w:rsid w:val="009879B6"/>
    <w:rsid w:val="00987A9D"/>
    <w:rsid w:val="00987A9E"/>
    <w:rsid w:val="00990630"/>
    <w:rsid w:val="00990E55"/>
    <w:rsid w:val="00990F81"/>
    <w:rsid w:val="00991761"/>
    <w:rsid w:val="00991E2E"/>
    <w:rsid w:val="00992BB6"/>
    <w:rsid w:val="0099391E"/>
    <w:rsid w:val="00994740"/>
    <w:rsid w:val="00994DCA"/>
    <w:rsid w:val="009960EC"/>
    <w:rsid w:val="0099683A"/>
    <w:rsid w:val="009970DD"/>
    <w:rsid w:val="00997639"/>
    <w:rsid w:val="00997C8C"/>
    <w:rsid w:val="00997CB2"/>
    <w:rsid w:val="009A0477"/>
    <w:rsid w:val="009A0A2D"/>
    <w:rsid w:val="009A0FBA"/>
    <w:rsid w:val="009A1601"/>
    <w:rsid w:val="009A1714"/>
    <w:rsid w:val="009A18A7"/>
    <w:rsid w:val="009A1D8F"/>
    <w:rsid w:val="009A2792"/>
    <w:rsid w:val="009A3A5C"/>
    <w:rsid w:val="009A3CCD"/>
    <w:rsid w:val="009A4210"/>
    <w:rsid w:val="009A462D"/>
    <w:rsid w:val="009A4BCE"/>
    <w:rsid w:val="009A4CCF"/>
    <w:rsid w:val="009A4DDD"/>
    <w:rsid w:val="009A5CBA"/>
    <w:rsid w:val="009A6E58"/>
    <w:rsid w:val="009A7113"/>
    <w:rsid w:val="009A7E55"/>
    <w:rsid w:val="009B1729"/>
    <w:rsid w:val="009B1F1D"/>
    <w:rsid w:val="009B1F30"/>
    <w:rsid w:val="009B200F"/>
    <w:rsid w:val="009B2162"/>
    <w:rsid w:val="009B2CBC"/>
    <w:rsid w:val="009B3AC2"/>
    <w:rsid w:val="009B41EE"/>
    <w:rsid w:val="009B48FF"/>
    <w:rsid w:val="009B4DF4"/>
    <w:rsid w:val="009B564E"/>
    <w:rsid w:val="009B5FF0"/>
    <w:rsid w:val="009B6325"/>
    <w:rsid w:val="009B68C0"/>
    <w:rsid w:val="009B6CA6"/>
    <w:rsid w:val="009B7342"/>
    <w:rsid w:val="009B76D8"/>
    <w:rsid w:val="009B7E87"/>
    <w:rsid w:val="009C0021"/>
    <w:rsid w:val="009C03DD"/>
    <w:rsid w:val="009C0424"/>
    <w:rsid w:val="009C0440"/>
    <w:rsid w:val="009C15AF"/>
    <w:rsid w:val="009C21AC"/>
    <w:rsid w:val="009C2721"/>
    <w:rsid w:val="009C2CD4"/>
    <w:rsid w:val="009C403E"/>
    <w:rsid w:val="009C409A"/>
    <w:rsid w:val="009C5674"/>
    <w:rsid w:val="009C6832"/>
    <w:rsid w:val="009C7042"/>
    <w:rsid w:val="009C7566"/>
    <w:rsid w:val="009C776C"/>
    <w:rsid w:val="009D004D"/>
    <w:rsid w:val="009D07D5"/>
    <w:rsid w:val="009D10E5"/>
    <w:rsid w:val="009D1F11"/>
    <w:rsid w:val="009D3180"/>
    <w:rsid w:val="009D322D"/>
    <w:rsid w:val="009D3ADE"/>
    <w:rsid w:val="009D3B4B"/>
    <w:rsid w:val="009D4178"/>
    <w:rsid w:val="009D45DF"/>
    <w:rsid w:val="009D4FF0"/>
    <w:rsid w:val="009D55B8"/>
    <w:rsid w:val="009D5F53"/>
    <w:rsid w:val="009D6060"/>
    <w:rsid w:val="009D703C"/>
    <w:rsid w:val="009D718F"/>
    <w:rsid w:val="009D7751"/>
    <w:rsid w:val="009E068F"/>
    <w:rsid w:val="009E0A97"/>
    <w:rsid w:val="009E0E79"/>
    <w:rsid w:val="009E14E0"/>
    <w:rsid w:val="009E1A93"/>
    <w:rsid w:val="009E1CED"/>
    <w:rsid w:val="009E2B48"/>
    <w:rsid w:val="009E32D2"/>
    <w:rsid w:val="009E35DB"/>
    <w:rsid w:val="009E3ACB"/>
    <w:rsid w:val="009E3D7F"/>
    <w:rsid w:val="009E462F"/>
    <w:rsid w:val="009E47A3"/>
    <w:rsid w:val="009E4C4C"/>
    <w:rsid w:val="009E53F8"/>
    <w:rsid w:val="009E581A"/>
    <w:rsid w:val="009E5E2B"/>
    <w:rsid w:val="009E60D8"/>
    <w:rsid w:val="009E6DFA"/>
    <w:rsid w:val="009F0157"/>
    <w:rsid w:val="009F01EA"/>
    <w:rsid w:val="009F0444"/>
    <w:rsid w:val="009F08F3"/>
    <w:rsid w:val="009F0C99"/>
    <w:rsid w:val="009F1495"/>
    <w:rsid w:val="009F1E46"/>
    <w:rsid w:val="009F2D96"/>
    <w:rsid w:val="009F344F"/>
    <w:rsid w:val="009F3D66"/>
    <w:rsid w:val="009F45F8"/>
    <w:rsid w:val="009F53E2"/>
    <w:rsid w:val="009F549A"/>
    <w:rsid w:val="009F582B"/>
    <w:rsid w:val="009F642B"/>
    <w:rsid w:val="009F77B7"/>
    <w:rsid w:val="009F7927"/>
    <w:rsid w:val="009F7D1D"/>
    <w:rsid w:val="00A01479"/>
    <w:rsid w:val="00A01834"/>
    <w:rsid w:val="00A01C14"/>
    <w:rsid w:val="00A01E09"/>
    <w:rsid w:val="00A02397"/>
    <w:rsid w:val="00A026C2"/>
    <w:rsid w:val="00A02A90"/>
    <w:rsid w:val="00A02AE3"/>
    <w:rsid w:val="00A031D8"/>
    <w:rsid w:val="00A040DB"/>
    <w:rsid w:val="00A041FE"/>
    <w:rsid w:val="00A04618"/>
    <w:rsid w:val="00A048A8"/>
    <w:rsid w:val="00A04A03"/>
    <w:rsid w:val="00A04F49"/>
    <w:rsid w:val="00A0512B"/>
    <w:rsid w:val="00A05A89"/>
    <w:rsid w:val="00A0644C"/>
    <w:rsid w:val="00A0656F"/>
    <w:rsid w:val="00A07A06"/>
    <w:rsid w:val="00A10CD9"/>
    <w:rsid w:val="00A10E3A"/>
    <w:rsid w:val="00A118EF"/>
    <w:rsid w:val="00A125D4"/>
    <w:rsid w:val="00A1344C"/>
    <w:rsid w:val="00A13BF6"/>
    <w:rsid w:val="00A13E54"/>
    <w:rsid w:val="00A140AD"/>
    <w:rsid w:val="00A14780"/>
    <w:rsid w:val="00A1537F"/>
    <w:rsid w:val="00A153D5"/>
    <w:rsid w:val="00A15471"/>
    <w:rsid w:val="00A155DA"/>
    <w:rsid w:val="00A15745"/>
    <w:rsid w:val="00A15793"/>
    <w:rsid w:val="00A169AF"/>
    <w:rsid w:val="00A16C61"/>
    <w:rsid w:val="00A16CFD"/>
    <w:rsid w:val="00A16FA2"/>
    <w:rsid w:val="00A17598"/>
    <w:rsid w:val="00A178CD"/>
    <w:rsid w:val="00A17A20"/>
    <w:rsid w:val="00A17B51"/>
    <w:rsid w:val="00A17F63"/>
    <w:rsid w:val="00A20F13"/>
    <w:rsid w:val="00A2193B"/>
    <w:rsid w:val="00A2351A"/>
    <w:rsid w:val="00A23664"/>
    <w:rsid w:val="00A237B4"/>
    <w:rsid w:val="00A257CB"/>
    <w:rsid w:val="00A264A9"/>
    <w:rsid w:val="00A26802"/>
    <w:rsid w:val="00A269E0"/>
    <w:rsid w:val="00A27785"/>
    <w:rsid w:val="00A278A1"/>
    <w:rsid w:val="00A30187"/>
    <w:rsid w:val="00A30B29"/>
    <w:rsid w:val="00A31275"/>
    <w:rsid w:val="00A31A6B"/>
    <w:rsid w:val="00A31C7E"/>
    <w:rsid w:val="00A33BAA"/>
    <w:rsid w:val="00A3448A"/>
    <w:rsid w:val="00A35F16"/>
    <w:rsid w:val="00A36104"/>
    <w:rsid w:val="00A36297"/>
    <w:rsid w:val="00A36782"/>
    <w:rsid w:val="00A41763"/>
    <w:rsid w:val="00A417AD"/>
    <w:rsid w:val="00A41E2B"/>
    <w:rsid w:val="00A43B9B"/>
    <w:rsid w:val="00A4530E"/>
    <w:rsid w:val="00A4597C"/>
    <w:rsid w:val="00A45B74"/>
    <w:rsid w:val="00A45DE8"/>
    <w:rsid w:val="00A45F58"/>
    <w:rsid w:val="00A46CBD"/>
    <w:rsid w:val="00A4713F"/>
    <w:rsid w:val="00A47318"/>
    <w:rsid w:val="00A47DDB"/>
    <w:rsid w:val="00A50D5F"/>
    <w:rsid w:val="00A52CC1"/>
    <w:rsid w:val="00A52E1D"/>
    <w:rsid w:val="00A533EC"/>
    <w:rsid w:val="00A5342B"/>
    <w:rsid w:val="00A54346"/>
    <w:rsid w:val="00A54F53"/>
    <w:rsid w:val="00A55278"/>
    <w:rsid w:val="00A55B8E"/>
    <w:rsid w:val="00A566D4"/>
    <w:rsid w:val="00A57667"/>
    <w:rsid w:val="00A57FE0"/>
    <w:rsid w:val="00A60BCB"/>
    <w:rsid w:val="00A60E74"/>
    <w:rsid w:val="00A61339"/>
    <w:rsid w:val="00A61499"/>
    <w:rsid w:val="00A625DF"/>
    <w:rsid w:val="00A62A77"/>
    <w:rsid w:val="00A6337B"/>
    <w:rsid w:val="00A63483"/>
    <w:rsid w:val="00A642E7"/>
    <w:rsid w:val="00A657D7"/>
    <w:rsid w:val="00A65A2B"/>
    <w:rsid w:val="00A660AC"/>
    <w:rsid w:val="00A67E6C"/>
    <w:rsid w:val="00A70360"/>
    <w:rsid w:val="00A71B99"/>
    <w:rsid w:val="00A71C6E"/>
    <w:rsid w:val="00A72097"/>
    <w:rsid w:val="00A73659"/>
    <w:rsid w:val="00A73932"/>
    <w:rsid w:val="00A739D0"/>
    <w:rsid w:val="00A73EDE"/>
    <w:rsid w:val="00A7402E"/>
    <w:rsid w:val="00A748C7"/>
    <w:rsid w:val="00A757D0"/>
    <w:rsid w:val="00A75873"/>
    <w:rsid w:val="00A75B46"/>
    <w:rsid w:val="00A75F7B"/>
    <w:rsid w:val="00A760E9"/>
    <w:rsid w:val="00A761D4"/>
    <w:rsid w:val="00A76349"/>
    <w:rsid w:val="00A76A62"/>
    <w:rsid w:val="00A77EC4"/>
    <w:rsid w:val="00A81DA7"/>
    <w:rsid w:val="00A81DB5"/>
    <w:rsid w:val="00A81FC1"/>
    <w:rsid w:val="00A82982"/>
    <w:rsid w:val="00A82C89"/>
    <w:rsid w:val="00A83888"/>
    <w:rsid w:val="00A84C31"/>
    <w:rsid w:val="00A85C6C"/>
    <w:rsid w:val="00A85EF6"/>
    <w:rsid w:val="00A86529"/>
    <w:rsid w:val="00A872DB"/>
    <w:rsid w:val="00A92273"/>
    <w:rsid w:val="00A92879"/>
    <w:rsid w:val="00A93AE5"/>
    <w:rsid w:val="00A93AE9"/>
    <w:rsid w:val="00A9433C"/>
    <w:rsid w:val="00A9442A"/>
    <w:rsid w:val="00A94F4B"/>
    <w:rsid w:val="00A9587F"/>
    <w:rsid w:val="00A95A9F"/>
    <w:rsid w:val="00A96EA4"/>
    <w:rsid w:val="00AA016F"/>
    <w:rsid w:val="00AA0313"/>
    <w:rsid w:val="00AA158C"/>
    <w:rsid w:val="00AA1ED6"/>
    <w:rsid w:val="00AA2151"/>
    <w:rsid w:val="00AA2A52"/>
    <w:rsid w:val="00AA3140"/>
    <w:rsid w:val="00AA3F75"/>
    <w:rsid w:val="00AA51D6"/>
    <w:rsid w:val="00AA5898"/>
    <w:rsid w:val="00AA58BD"/>
    <w:rsid w:val="00AA62C4"/>
    <w:rsid w:val="00AB00BA"/>
    <w:rsid w:val="00AB0392"/>
    <w:rsid w:val="00AB0BC8"/>
    <w:rsid w:val="00AB11CA"/>
    <w:rsid w:val="00AB14D9"/>
    <w:rsid w:val="00AB187F"/>
    <w:rsid w:val="00AB22CB"/>
    <w:rsid w:val="00AB2DFF"/>
    <w:rsid w:val="00AB4AB8"/>
    <w:rsid w:val="00AB592D"/>
    <w:rsid w:val="00AB6314"/>
    <w:rsid w:val="00AB655E"/>
    <w:rsid w:val="00AB6A4A"/>
    <w:rsid w:val="00AB7255"/>
    <w:rsid w:val="00AB75E6"/>
    <w:rsid w:val="00AB7DDF"/>
    <w:rsid w:val="00AC007F"/>
    <w:rsid w:val="00AC0718"/>
    <w:rsid w:val="00AC0EAA"/>
    <w:rsid w:val="00AC1BCF"/>
    <w:rsid w:val="00AC2473"/>
    <w:rsid w:val="00AC2ECD"/>
    <w:rsid w:val="00AC2F7D"/>
    <w:rsid w:val="00AC3119"/>
    <w:rsid w:val="00AC4658"/>
    <w:rsid w:val="00AC465B"/>
    <w:rsid w:val="00AC49FB"/>
    <w:rsid w:val="00AC4F6F"/>
    <w:rsid w:val="00AC5439"/>
    <w:rsid w:val="00AC5A10"/>
    <w:rsid w:val="00AC6121"/>
    <w:rsid w:val="00AC6321"/>
    <w:rsid w:val="00AC7789"/>
    <w:rsid w:val="00AC7F79"/>
    <w:rsid w:val="00AD0AA3"/>
    <w:rsid w:val="00AD0D33"/>
    <w:rsid w:val="00AD0E8E"/>
    <w:rsid w:val="00AD2643"/>
    <w:rsid w:val="00AD2D81"/>
    <w:rsid w:val="00AD344B"/>
    <w:rsid w:val="00AD3EA0"/>
    <w:rsid w:val="00AD3F94"/>
    <w:rsid w:val="00AD45AE"/>
    <w:rsid w:val="00AD4A5A"/>
    <w:rsid w:val="00AD5B85"/>
    <w:rsid w:val="00AE05B0"/>
    <w:rsid w:val="00AE0DC8"/>
    <w:rsid w:val="00AE124B"/>
    <w:rsid w:val="00AE1303"/>
    <w:rsid w:val="00AE1BD1"/>
    <w:rsid w:val="00AE1DC5"/>
    <w:rsid w:val="00AE22D5"/>
    <w:rsid w:val="00AE27AC"/>
    <w:rsid w:val="00AE27B8"/>
    <w:rsid w:val="00AE2871"/>
    <w:rsid w:val="00AE2FEB"/>
    <w:rsid w:val="00AE40E0"/>
    <w:rsid w:val="00AE45FC"/>
    <w:rsid w:val="00AE4DBA"/>
    <w:rsid w:val="00AE4F07"/>
    <w:rsid w:val="00AE5B8D"/>
    <w:rsid w:val="00AE6B3A"/>
    <w:rsid w:val="00AE6DB7"/>
    <w:rsid w:val="00AE70A8"/>
    <w:rsid w:val="00AE7823"/>
    <w:rsid w:val="00AF0198"/>
    <w:rsid w:val="00AF08FB"/>
    <w:rsid w:val="00AF15A3"/>
    <w:rsid w:val="00AF1C2D"/>
    <w:rsid w:val="00AF1C5D"/>
    <w:rsid w:val="00AF28C7"/>
    <w:rsid w:val="00AF3F43"/>
    <w:rsid w:val="00AF4287"/>
    <w:rsid w:val="00AF42D7"/>
    <w:rsid w:val="00AF672F"/>
    <w:rsid w:val="00AF6A46"/>
    <w:rsid w:val="00AF6C65"/>
    <w:rsid w:val="00B006FE"/>
    <w:rsid w:val="00B007CB"/>
    <w:rsid w:val="00B00F1E"/>
    <w:rsid w:val="00B01032"/>
    <w:rsid w:val="00B019B2"/>
    <w:rsid w:val="00B01EA9"/>
    <w:rsid w:val="00B02AA9"/>
    <w:rsid w:val="00B02FA3"/>
    <w:rsid w:val="00B02FF6"/>
    <w:rsid w:val="00B03374"/>
    <w:rsid w:val="00B04487"/>
    <w:rsid w:val="00B05084"/>
    <w:rsid w:val="00B056E9"/>
    <w:rsid w:val="00B06567"/>
    <w:rsid w:val="00B07FBA"/>
    <w:rsid w:val="00B1174B"/>
    <w:rsid w:val="00B13440"/>
    <w:rsid w:val="00B1388B"/>
    <w:rsid w:val="00B1388E"/>
    <w:rsid w:val="00B14355"/>
    <w:rsid w:val="00B148B7"/>
    <w:rsid w:val="00B157F9"/>
    <w:rsid w:val="00B15BBE"/>
    <w:rsid w:val="00B15F72"/>
    <w:rsid w:val="00B16280"/>
    <w:rsid w:val="00B169DE"/>
    <w:rsid w:val="00B16AC4"/>
    <w:rsid w:val="00B20256"/>
    <w:rsid w:val="00B205BF"/>
    <w:rsid w:val="00B20B01"/>
    <w:rsid w:val="00B20D09"/>
    <w:rsid w:val="00B21242"/>
    <w:rsid w:val="00B21280"/>
    <w:rsid w:val="00B21953"/>
    <w:rsid w:val="00B21CED"/>
    <w:rsid w:val="00B22545"/>
    <w:rsid w:val="00B22841"/>
    <w:rsid w:val="00B22D53"/>
    <w:rsid w:val="00B22E70"/>
    <w:rsid w:val="00B23F9B"/>
    <w:rsid w:val="00B2429A"/>
    <w:rsid w:val="00B2568A"/>
    <w:rsid w:val="00B25851"/>
    <w:rsid w:val="00B25ACD"/>
    <w:rsid w:val="00B263CC"/>
    <w:rsid w:val="00B2763F"/>
    <w:rsid w:val="00B279B0"/>
    <w:rsid w:val="00B27AAC"/>
    <w:rsid w:val="00B30929"/>
    <w:rsid w:val="00B31806"/>
    <w:rsid w:val="00B36A76"/>
    <w:rsid w:val="00B36F5B"/>
    <w:rsid w:val="00B372AA"/>
    <w:rsid w:val="00B3745E"/>
    <w:rsid w:val="00B37C3C"/>
    <w:rsid w:val="00B40445"/>
    <w:rsid w:val="00B41888"/>
    <w:rsid w:val="00B41F2D"/>
    <w:rsid w:val="00B41F8F"/>
    <w:rsid w:val="00B435A9"/>
    <w:rsid w:val="00B43789"/>
    <w:rsid w:val="00B43CB2"/>
    <w:rsid w:val="00B43E68"/>
    <w:rsid w:val="00B4443D"/>
    <w:rsid w:val="00B446CA"/>
    <w:rsid w:val="00B45308"/>
    <w:rsid w:val="00B45A52"/>
    <w:rsid w:val="00B46175"/>
    <w:rsid w:val="00B47766"/>
    <w:rsid w:val="00B47F56"/>
    <w:rsid w:val="00B50111"/>
    <w:rsid w:val="00B50C22"/>
    <w:rsid w:val="00B510C9"/>
    <w:rsid w:val="00B51A4F"/>
    <w:rsid w:val="00B537EE"/>
    <w:rsid w:val="00B53DE8"/>
    <w:rsid w:val="00B53E0B"/>
    <w:rsid w:val="00B53F90"/>
    <w:rsid w:val="00B552BF"/>
    <w:rsid w:val="00B556A3"/>
    <w:rsid w:val="00B558BD"/>
    <w:rsid w:val="00B56376"/>
    <w:rsid w:val="00B56474"/>
    <w:rsid w:val="00B57202"/>
    <w:rsid w:val="00B57B02"/>
    <w:rsid w:val="00B61E24"/>
    <w:rsid w:val="00B61E32"/>
    <w:rsid w:val="00B63281"/>
    <w:rsid w:val="00B63870"/>
    <w:rsid w:val="00B63DCF"/>
    <w:rsid w:val="00B64D44"/>
    <w:rsid w:val="00B65120"/>
    <w:rsid w:val="00B6606B"/>
    <w:rsid w:val="00B664C7"/>
    <w:rsid w:val="00B66F18"/>
    <w:rsid w:val="00B67F1E"/>
    <w:rsid w:val="00B700A7"/>
    <w:rsid w:val="00B735BB"/>
    <w:rsid w:val="00B739B6"/>
    <w:rsid w:val="00B739F6"/>
    <w:rsid w:val="00B73B3D"/>
    <w:rsid w:val="00B74C0C"/>
    <w:rsid w:val="00B74EEC"/>
    <w:rsid w:val="00B7508A"/>
    <w:rsid w:val="00B750EF"/>
    <w:rsid w:val="00B759CA"/>
    <w:rsid w:val="00B75A51"/>
    <w:rsid w:val="00B75C45"/>
    <w:rsid w:val="00B761E0"/>
    <w:rsid w:val="00B769D8"/>
    <w:rsid w:val="00B77D05"/>
    <w:rsid w:val="00B77E1D"/>
    <w:rsid w:val="00B8037C"/>
    <w:rsid w:val="00B81A6C"/>
    <w:rsid w:val="00B81B35"/>
    <w:rsid w:val="00B82F28"/>
    <w:rsid w:val="00B83B22"/>
    <w:rsid w:val="00B83EBA"/>
    <w:rsid w:val="00B8470E"/>
    <w:rsid w:val="00B84AC6"/>
    <w:rsid w:val="00B85243"/>
    <w:rsid w:val="00B853E1"/>
    <w:rsid w:val="00B857D5"/>
    <w:rsid w:val="00B85DE5"/>
    <w:rsid w:val="00B85E07"/>
    <w:rsid w:val="00B86E7D"/>
    <w:rsid w:val="00B8731A"/>
    <w:rsid w:val="00B87C98"/>
    <w:rsid w:val="00B90F73"/>
    <w:rsid w:val="00B91755"/>
    <w:rsid w:val="00B91A6C"/>
    <w:rsid w:val="00B9231F"/>
    <w:rsid w:val="00B929E5"/>
    <w:rsid w:val="00B93B59"/>
    <w:rsid w:val="00B9406A"/>
    <w:rsid w:val="00B94990"/>
    <w:rsid w:val="00B9624A"/>
    <w:rsid w:val="00B9628F"/>
    <w:rsid w:val="00B97C74"/>
    <w:rsid w:val="00BA0ED3"/>
    <w:rsid w:val="00BA11EC"/>
    <w:rsid w:val="00BA171D"/>
    <w:rsid w:val="00BA2280"/>
    <w:rsid w:val="00BA2A08"/>
    <w:rsid w:val="00BA36FB"/>
    <w:rsid w:val="00BA4847"/>
    <w:rsid w:val="00BA4A75"/>
    <w:rsid w:val="00BA5449"/>
    <w:rsid w:val="00BA5561"/>
    <w:rsid w:val="00BA560D"/>
    <w:rsid w:val="00BA56D2"/>
    <w:rsid w:val="00BA5B6C"/>
    <w:rsid w:val="00BA61B7"/>
    <w:rsid w:val="00BA6B40"/>
    <w:rsid w:val="00BA72E0"/>
    <w:rsid w:val="00BA76E0"/>
    <w:rsid w:val="00BA7704"/>
    <w:rsid w:val="00BA7723"/>
    <w:rsid w:val="00BA78F8"/>
    <w:rsid w:val="00BB0728"/>
    <w:rsid w:val="00BB0731"/>
    <w:rsid w:val="00BB0C87"/>
    <w:rsid w:val="00BB0EB7"/>
    <w:rsid w:val="00BB1671"/>
    <w:rsid w:val="00BB16D4"/>
    <w:rsid w:val="00BB27CB"/>
    <w:rsid w:val="00BB2A25"/>
    <w:rsid w:val="00BB37B6"/>
    <w:rsid w:val="00BB4F95"/>
    <w:rsid w:val="00BB51E9"/>
    <w:rsid w:val="00BB5B4B"/>
    <w:rsid w:val="00BB5D3D"/>
    <w:rsid w:val="00BB7628"/>
    <w:rsid w:val="00BB792A"/>
    <w:rsid w:val="00BC0613"/>
    <w:rsid w:val="00BC0FDC"/>
    <w:rsid w:val="00BC1627"/>
    <w:rsid w:val="00BC1E1E"/>
    <w:rsid w:val="00BC3053"/>
    <w:rsid w:val="00BC324D"/>
    <w:rsid w:val="00BC413C"/>
    <w:rsid w:val="00BC41F8"/>
    <w:rsid w:val="00BC4229"/>
    <w:rsid w:val="00BC4D2E"/>
    <w:rsid w:val="00BC53ED"/>
    <w:rsid w:val="00BC6423"/>
    <w:rsid w:val="00BC73E1"/>
    <w:rsid w:val="00BD31C7"/>
    <w:rsid w:val="00BD48AC"/>
    <w:rsid w:val="00BD598E"/>
    <w:rsid w:val="00BD5A79"/>
    <w:rsid w:val="00BD5F1A"/>
    <w:rsid w:val="00BD6758"/>
    <w:rsid w:val="00BD6A57"/>
    <w:rsid w:val="00BD6C50"/>
    <w:rsid w:val="00BD7C05"/>
    <w:rsid w:val="00BD7E23"/>
    <w:rsid w:val="00BE01FE"/>
    <w:rsid w:val="00BE1234"/>
    <w:rsid w:val="00BE1316"/>
    <w:rsid w:val="00BE1680"/>
    <w:rsid w:val="00BE1C75"/>
    <w:rsid w:val="00BE2FA6"/>
    <w:rsid w:val="00BE333F"/>
    <w:rsid w:val="00BE3F81"/>
    <w:rsid w:val="00BE4E83"/>
    <w:rsid w:val="00BE5D75"/>
    <w:rsid w:val="00BE7406"/>
    <w:rsid w:val="00BE7603"/>
    <w:rsid w:val="00BE7AD3"/>
    <w:rsid w:val="00BE7FF9"/>
    <w:rsid w:val="00BF035F"/>
    <w:rsid w:val="00BF10B7"/>
    <w:rsid w:val="00BF2940"/>
    <w:rsid w:val="00BF2E47"/>
    <w:rsid w:val="00BF2F32"/>
    <w:rsid w:val="00BF3206"/>
    <w:rsid w:val="00BF3279"/>
    <w:rsid w:val="00BF3763"/>
    <w:rsid w:val="00BF4594"/>
    <w:rsid w:val="00BF4A0B"/>
    <w:rsid w:val="00BF4F4A"/>
    <w:rsid w:val="00BF64ED"/>
    <w:rsid w:val="00BF74C7"/>
    <w:rsid w:val="00BF7642"/>
    <w:rsid w:val="00BF78E3"/>
    <w:rsid w:val="00BF7D06"/>
    <w:rsid w:val="00BF7F22"/>
    <w:rsid w:val="00C00B32"/>
    <w:rsid w:val="00C015F1"/>
    <w:rsid w:val="00C01F33"/>
    <w:rsid w:val="00C02026"/>
    <w:rsid w:val="00C02711"/>
    <w:rsid w:val="00C02A4C"/>
    <w:rsid w:val="00C02CC6"/>
    <w:rsid w:val="00C040F7"/>
    <w:rsid w:val="00C044AB"/>
    <w:rsid w:val="00C0464E"/>
    <w:rsid w:val="00C048ED"/>
    <w:rsid w:val="00C04974"/>
    <w:rsid w:val="00C04E2F"/>
    <w:rsid w:val="00C050DB"/>
    <w:rsid w:val="00C05706"/>
    <w:rsid w:val="00C0590C"/>
    <w:rsid w:val="00C05CB7"/>
    <w:rsid w:val="00C06295"/>
    <w:rsid w:val="00C07377"/>
    <w:rsid w:val="00C07810"/>
    <w:rsid w:val="00C10478"/>
    <w:rsid w:val="00C10482"/>
    <w:rsid w:val="00C1074B"/>
    <w:rsid w:val="00C10AC8"/>
    <w:rsid w:val="00C10BF1"/>
    <w:rsid w:val="00C10CCE"/>
    <w:rsid w:val="00C10D29"/>
    <w:rsid w:val="00C115EC"/>
    <w:rsid w:val="00C12107"/>
    <w:rsid w:val="00C1295A"/>
    <w:rsid w:val="00C12E87"/>
    <w:rsid w:val="00C1376B"/>
    <w:rsid w:val="00C13A4B"/>
    <w:rsid w:val="00C14319"/>
    <w:rsid w:val="00C1472E"/>
    <w:rsid w:val="00C14D4B"/>
    <w:rsid w:val="00C14F0B"/>
    <w:rsid w:val="00C154BB"/>
    <w:rsid w:val="00C159C8"/>
    <w:rsid w:val="00C15BCF"/>
    <w:rsid w:val="00C1641E"/>
    <w:rsid w:val="00C16685"/>
    <w:rsid w:val="00C16880"/>
    <w:rsid w:val="00C20848"/>
    <w:rsid w:val="00C20BCF"/>
    <w:rsid w:val="00C20C02"/>
    <w:rsid w:val="00C2129E"/>
    <w:rsid w:val="00C22138"/>
    <w:rsid w:val="00C23615"/>
    <w:rsid w:val="00C236A0"/>
    <w:rsid w:val="00C23BAA"/>
    <w:rsid w:val="00C24613"/>
    <w:rsid w:val="00C25158"/>
    <w:rsid w:val="00C2536D"/>
    <w:rsid w:val="00C253A3"/>
    <w:rsid w:val="00C256EC"/>
    <w:rsid w:val="00C25711"/>
    <w:rsid w:val="00C25ECC"/>
    <w:rsid w:val="00C2631E"/>
    <w:rsid w:val="00C2666E"/>
    <w:rsid w:val="00C26853"/>
    <w:rsid w:val="00C274F8"/>
    <w:rsid w:val="00C277C3"/>
    <w:rsid w:val="00C279B5"/>
    <w:rsid w:val="00C27C45"/>
    <w:rsid w:val="00C30AE0"/>
    <w:rsid w:val="00C31387"/>
    <w:rsid w:val="00C3188D"/>
    <w:rsid w:val="00C32D47"/>
    <w:rsid w:val="00C339E4"/>
    <w:rsid w:val="00C33B33"/>
    <w:rsid w:val="00C33DD3"/>
    <w:rsid w:val="00C34ED6"/>
    <w:rsid w:val="00C35DAF"/>
    <w:rsid w:val="00C363D8"/>
    <w:rsid w:val="00C367F9"/>
    <w:rsid w:val="00C3699E"/>
    <w:rsid w:val="00C3719D"/>
    <w:rsid w:val="00C37ABF"/>
    <w:rsid w:val="00C37B0A"/>
    <w:rsid w:val="00C403FE"/>
    <w:rsid w:val="00C4093E"/>
    <w:rsid w:val="00C409F4"/>
    <w:rsid w:val="00C40BA7"/>
    <w:rsid w:val="00C41794"/>
    <w:rsid w:val="00C42DA2"/>
    <w:rsid w:val="00C4445A"/>
    <w:rsid w:val="00C4451C"/>
    <w:rsid w:val="00C44D76"/>
    <w:rsid w:val="00C469B5"/>
    <w:rsid w:val="00C46B05"/>
    <w:rsid w:val="00C4762D"/>
    <w:rsid w:val="00C4763C"/>
    <w:rsid w:val="00C47E05"/>
    <w:rsid w:val="00C47FAC"/>
    <w:rsid w:val="00C47FDC"/>
    <w:rsid w:val="00C50C1A"/>
    <w:rsid w:val="00C50DE5"/>
    <w:rsid w:val="00C51E75"/>
    <w:rsid w:val="00C525E5"/>
    <w:rsid w:val="00C5343E"/>
    <w:rsid w:val="00C53D12"/>
    <w:rsid w:val="00C541C4"/>
    <w:rsid w:val="00C54995"/>
    <w:rsid w:val="00C54D41"/>
    <w:rsid w:val="00C55C18"/>
    <w:rsid w:val="00C55CF9"/>
    <w:rsid w:val="00C56E6D"/>
    <w:rsid w:val="00C6065A"/>
    <w:rsid w:val="00C60783"/>
    <w:rsid w:val="00C60CBA"/>
    <w:rsid w:val="00C62371"/>
    <w:rsid w:val="00C62558"/>
    <w:rsid w:val="00C643A2"/>
    <w:rsid w:val="00C64644"/>
    <w:rsid w:val="00C64672"/>
    <w:rsid w:val="00C64B37"/>
    <w:rsid w:val="00C6504B"/>
    <w:rsid w:val="00C65D68"/>
    <w:rsid w:val="00C65F45"/>
    <w:rsid w:val="00C6669A"/>
    <w:rsid w:val="00C66725"/>
    <w:rsid w:val="00C66B9E"/>
    <w:rsid w:val="00C67823"/>
    <w:rsid w:val="00C67F02"/>
    <w:rsid w:val="00C70697"/>
    <w:rsid w:val="00C719F4"/>
    <w:rsid w:val="00C71F71"/>
    <w:rsid w:val="00C72EF4"/>
    <w:rsid w:val="00C73202"/>
    <w:rsid w:val="00C73B01"/>
    <w:rsid w:val="00C73FA8"/>
    <w:rsid w:val="00C7468E"/>
    <w:rsid w:val="00C750F9"/>
    <w:rsid w:val="00C75D2F"/>
    <w:rsid w:val="00C75E8F"/>
    <w:rsid w:val="00C767BE"/>
    <w:rsid w:val="00C76C32"/>
    <w:rsid w:val="00C76E3C"/>
    <w:rsid w:val="00C8034E"/>
    <w:rsid w:val="00C80DD7"/>
    <w:rsid w:val="00C81568"/>
    <w:rsid w:val="00C82FFD"/>
    <w:rsid w:val="00C83B70"/>
    <w:rsid w:val="00C8407B"/>
    <w:rsid w:val="00C840F3"/>
    <w:rsid w:val="00C84A6E"/>
    <w:rsid w:val="00C851E0"/>
    <w:rsid w:val="00C856A0"/>
    <w:rsid w:val="00C86967"/>
    <w:rsid w:val="00C86A4A"/>
    <w:rsid w:val="00C86E99"/>
    <w:rsid w:val="00C87109"/>
    <w:rsid w:val="00C87DDA"/>
    <w:rsid w:val="00C87E79"/>
    <w:rsid w:val="00C9027A"/>
    <w:rsid w:val="00C9058E"/>
    <w:rsid w:val="00C905BE"/>
    <w:rsid w:val="00C9068E"/>
    <w:rsid w:val="00C91CE5"/>
    <w:rsid w:val="00C91E65"/>
    <w:rsid w:val="00C92663"/>
    <w:rsid w:val="00C933DA"/>
    <w:rsid w:val="00C93418"/>
    <w:rsid w:val="00C93ABF"/>
    <w:rsid w:val="00C93C4B"/>
    <w:rsid w:val="00C941E5"/>
    <w:rsid w:val="00C942A9"/>
    <w:rsid w:val="00C944AB"/>
    <w:rsid w:val="00C945EE"/>
    <w:rsid w:val="00C95204"/>
    <w:rsid w:val="00C95B40"/>
    <w:rsid w:val="00C9628D"/>
    <w:rsid w:val="00C962EC"/>
    <w:rsid w:val="00C96407"/>
    <w:rsid w:val="00C973F5"/>
    <w:rsid w:val="00C97E62"/>
    <w:rsid w:val="00CA1045"/>
    <w:rsid w:val="00CA1068"/>
    <w:rsid w:val="00CA11E6"/>
    <w:rsid w:val="00CA1933"/>
    <w:rsid w:val="00CA1D97"/>
    <w:rsid w:val="00CA1DD1"/>
    <w:rsid w:val="00CA1ECE"/>
    <w:rsid w:val="00CA1ED8"/>
    <w:rsid w:val="00CA2417"/>
    <w:rsid w:val="00CA653B"/>
    <w:rsid w:val="00CA68AD"/>
    <w:rsid w:val="00CA6A89"/>
    <w:rsid w:val="00CA6EF3"/>
    <w:rsid w:val="00CB1945"/>
    <w:rsid w:val="00CB1C00"/>
    <w:rsid w:val="00CB1E33"/>
    <w:rsid w:val="00CB1F63"/>
    <w:rsid w:val="00CB29BE"/>
    <w:rsid w:val="00CB2D8A"/>
    <w:rsid w:val="00CB2DA2"/>
    <w:rsid w:val="00CB2F15"/>
    <w:rsid w:val="00CB4F8A"/>
    <w:rsid w:val="00CB5842"/>
    <w:rsid w:val="00CB5B06"/>
    <w:rsid w:val="00CB5E13"/>
    <w:rsid w:val="00CB63B8"/>
    <w:rsid w:val="00CB67B6"/>
    <w:rsid w:val="00CB7170"/>
    <w:rsid w:val="00CB7724"/>
    <w:rsid w:val="00CC040E"/>
    <w:rsid w:val="00CC0DA2"/>
    <w:rsid w:val="00CC111F"/>
    <w:rsid w:val="00CC127F"/>
    <w:rsid w:val="00CC18E7"/>
    <w:rsid w:val="00CC2011"/>
    <w:rsid w:val="00CC2862"/>
    <w:rsid w:val="00CC3089"/>
    <w:rsid w:val="00CC3EA0"/>
    <w:rsid w:val="00CC4975"/>
    <w:rsid w:val="00CC4C8F"/>
    <w:rsid w:val="00CC50D1"/>
    <w:rsid w:val="00CC5121"/>
    <w:rsid w:val="00CC5ADA"/>
    <w:rsid w:val="00CC6F40"/>
    <w:rsid w:val="00CC7B45"/>
    <w:rsid w:val="00CC7C89"/>
    <w:rsid w:val="00CD0898"/>
    <w:rsid w:val="00CD1188"/>
    <w:rsid w:val="00CD2ED1"/>
    <w:rsid w:val="00CD337B"/>
    <w:rsid w:val="00CD37FA"/>
    <w:rsid w:val="00CD49A8"/>
    <w:rsid w:val="00CD512A"/>
    <w:rsid w:val="00CD5772"/>
    <w:rsid w:val="00CD61A1"/>
    <w:rsid w:val="00CD6AD7"/>
    <w:rsid w:val="00CD7C39"/>
    <w:rsid w:val="00CE0424"/>
    <w:rsid w:val="00CE1CEE"/>
    <w:rsid w:val="00CE2AE5"/>
    <w:rsid w:val="00CE33DE"/>
    <w:rsid w:val="00CE467F"/>
    <w:rsid w:val="00CE540B"/>
    <w:rsid w:val="00CE6347"/>
    <w:rsid w:val="00CE65A7"/>
    <w:rsid w:val="00CE6D5A"/>
    <w:rsid w:val="00CE7561"/>
    <w:rsid w:val="00CE779B"/>
    <w:rsid w:val="00CE7B2F"/>
    <w:rsid w:val="00CE7CC5"/>
    <w:rsid w:val="00CF01B9"/>
    <w:rsid w:val="00CF0299"/>
    <w:rsid w:val="00CF0909"/>
    <w:rsid w:val="00CF1354"/>
    <w:rsid w:val="00CF13FB"/>
    <w:rsid w:val="00CF18DA"/>
    <w:rsid w:val="00CF26E5"/>
    <w:rsid w:val="00CF2B60"/>
    <w:rsid w:val="00CF300D"/>
    <w:rsid w:val="00CF3154"/>
    <w:rsid w:val="00CF34C9"/>
    <w:rsid w:val="00CF3B1F"/>
    <w:rsid w:val="00CF3BF6"/>
    <w:rsid w:val="00CF3E8C"/>
    <w:rsid w:val="00CF50E9"/>
    <w:rsid w:val="00CF5E3B"/>
    <w:rsid w:val="00CF625B"/>
    <w:rsid w:val="00CF6576"/>
    <w:rsid w:val="00CF687E"/>
    <w:rsid w:val="00CF6ABA"/>
    <w:rsid w:val="00CF74E2"/>
    <w:rsid w:val="00CF75FF"/>
    <w:rsid w:val="00D009DC"/>
    <w:rsid w:val="00D010D0"/>
    <w:rsid w:val="00D0120F"/>
    <w:rsid w:val="00D02B70"/>
    <w:rsid w:val="00D030F3"/>
    <w:rsid w:val="00D0349B"/>
    <w:rsid w:val="00D03B17"/>
    <w:rsid w:val="00D03E6D"/>
    <w:rsid w:val="00D04523"/>
    <w:rsid w:val="00D049E2"/>
    <w:rsid w:val="00D0509F"/>
    <w:rsid w:val="00D068D0"/>
    <w:rsid w:val="00D06D6F"/>
    <w:rsid w:val="00D07BA9"/>
    <w:rsid w:val="00D07DC9"/>
    <w:rsid w:val="00D07E6C"/>
    <w:rsid w:val="00D1003B"/>
    <w:rsid w:val="00D10083"/>
    <w:rsid w:val="00D10249"/>
    <w:rsid w:val="00D115C3"/>
    <w:rsid w:val="00D11897"/>
    <w:rsid w:val="00D11BCF"/>
    <w:rsid w:val="00D11C0E"/>
    <w:rsid w:val="00D11D3F"/>
    <w:rsid w:val="00D11E88"/>
    <w:rsid w:val="00D123B9"/>
    <w:rsid w:val="00D12F0B"/>
    <w:rsid w:val="00D130D3"/>
    <w:rsid w:val="00D13135"/>
    <w:rsid w:val="00D131EE"/>
    <w:rsid w:val="00D13E4E"/>
    <w:rsid w:val="00D15413"/>
    <w:rsid w:val="00D1594B"/>
    <w:rsid w:val="00D15B46"/>
    <w:rsid w:val="00D160CC"/>
    <w:rsid w:val="00D16613"/>
    <w:rsid w:val="00D16BBB"/>
    <w:rsid w:val="00D1718B"/>
    <w:rsid w:val="00D17D7C"/>
    <w:rsid w:val="00D21E21"/>
    <w:rsid w:val="00D22B56"/>
    <w:rsid w:val="00D239A7"/>
    <w:rsid w:val="00D23CF9"/>
    <w:rsid w:val="00D23F47"/>
    <w:rsid w:val="00D2446A"/>
    <w:rsid w:val="00D246ED"/>
    <w:rsid w:val="00D24C1C"/>
    <w:rsid w:val="00D25A53"/>
    <w:rsid w:val="00D25B71"/>
    <w:rsid w:val="00D27209"/>
    <w:rsid w:val="00D272B4"/>
    <w:rsid w:val="00D27A0B"/>
    <w:rsid w:val="00D27B0C"/>
    <w:rsid w:val="00D30F95"/>
    <w:rsid w:val="00D311D4"/>
    <w:rsid w:val="00D32571"/>
    <w:rsid w:val="00D325DB"/>
    <w:rsid w:val="00D326B7"/>
    <w:rsid w:val="00D3338B"/>
    <w:rsid w:val="00D33D79"/>
    <w:rsid w:val="00D34033"/>
    <w:rsid w:val="00D34880"/>
    <w:rsid w:val="00D36309"/>
    <w:rsid w:val="00D36448"/>
    <w:rsid w:val="00D36CD4"/>
    <w:rsid w:val="00D36E71"/>
    <w:rsid w:val="00D3721E"/>
    <w:rsid w:val="00D3727B"/>
    <w:rsid w:val="00D3778C"/>
    <w:rsid w:val="00D37D87"/>
    <w:rsid w:val="00D40067"/>
    <w:rsid w:val="00D407DD"/>
    <w:rsid w:val="00D408DA"/>
    <w:rsid w:val="00D40B33"/>
    <w:rsid w:val="00D414AA"/>
    <w:rsid w:val="00D42135"/>
    <w:rsid w:val="00D4254C"/>
    <w:rsid w:val="00D42D5B"/>
    <w:rsid w:val="00D4318F"/>
    <w:rsid w:val="00D4347E"/>
    <w:rsid w:val="00D436A7"/>
    <w:rsid w:val="00D438BF"/>
    <w:rsid w:val="00D440CD"/>
    <w:rsid w:val="00D440F8"/>
    <w:rsid w:val="00D44891"/>
    <w:rsid w:val="00D44FEA"/>
    <w:rsid w:val="00D46757"/>
    <w:rsid w:val="00D509CA"/>
    <w:rsid w:val="00D51E3A"/>
    <w:rsid w:val="00D527D7"/>
    <w:rsid w:val="00D546FF"/>
    <w:rsid w:val="00D54791"/>
    <w:rsid w:val="00D54AA7"/>
    <w:rsid w:val="00D54B16"/>
    <w:rsid w:val="00D5515F"/>
    <w:rsid w:val="00D556B1"/>
    <w:rsid w:val="00D55AD5"/>
    <w:rsid w:val="00D562C6"/>
    <w:rsid w:val="00D56F32"/>
    <w:rsid w:val="00D5711B"/>
    <w:rsid w:val="00D57636"/>
    <w:rsid w:val="00D576CA"/>
    <w:rsid w:val="00D57C7D"/>
    <w:rsid w:val="00D57DD1"/>
    <w:rsid w:val="00D6026E"/>
    <w:rsid w:val="00D60282"/>
    <w:rsid w:val="00D603C4"/>
    <w:rsid w:val="00D60F61"/>
    <w:rsid w:val="00D61AF5"/>
    <w:rsid w:val="00D6264C"/>
    <w:rsid w:val="00D62725"/>
    <w:rsid w:val="00D63449"/>
    <w:rsid w:val="00D6367E"/>
    <w:rsid w:val="00D63CFD"/>
    <w:rsid w:val="00D641A6"/>
    <w:rsid w:val="00D642CA"/>
    <w:rsid w:val="00D652B5"/>
    <w:rsid w:val="00D66022"/>
    <w:rsid w:val="00D66155"/>
    <w:rsid w:val="00D665B9"/>
    <w:rsid w:val="00D66848"/>
    <w:rsid w:val="00D66B36"/>
    <w:rsid w:val="00D66E89"/>
    <w:rsid w:val="00D66E8D"/>
    <w:rsid w:val="00D67C53"/>
    <w:rsid w:val="00D67CC1"/>
    <w:rsid w:val="00D67D01"/>
    <w:rsid w:val="00D708B0"/>
    <w:rsid w:val="00D71482"/>
    <w:rsid w:val="00D71678"/>
    <w:rsid w:val="00D718DE"/>
    <w:rsid w:val="00D71D0A"/>
    <w:rsid w:val="00D72D24"/>
    <w:rsid w:val="00D7321B"/>
    <w:rsid w:val="00D73488"/>
    <w:rsid w:val="00D73D8A"/>
    <w:rsid w:val="00D756B6"/>
    <w:rsid w:val="00D75EA7"/>
    <w:rsid w:val="00D77820"/>
    <w:rsid w:val="00D77B1D"/>
    <w:rsid w:val="00D77E4A"/>
    <w:rsid w:val="00D8021F"/>
    <w:rsid w:val="00D802AD"/>
    <w:rsid w:val="00D80383"/>
    <w:rsid w:val="00D8102F"/>
    <w:rsid w:val="00D813ED"/>
    <w:rsid w:val="00D8168B"/>
    <w:rsid w:val="00D823C6"/>
    <w:rsid w:val="00D8260F"/>
    <w:rsid w:val="00D827F5"/>
    <w:rsid w:val="00D82A76"/>
    <w:rsid w:val="00D82DF7"/>
    <w:rsid w:val="00D834FD"/>
    <w:rsid w:val="00D83594"/>
    <w:rsid w:val="00D83A16"/>
    <w:rsid w:val="00D84553"/>
    <w:rsid w:val="00D848E6"/>
    <w:rsid w:val="00D84C46"/>
    <w:rsid w:val="00D85A9A"/>
    <w:rsid w:val="00D85B4C"/>
    <w:rsid w:val="00D86CA3"/>
    <w:rsid w:val="00D86D6B"/>
    <w:rsid w:val="00D871CE"/>
    <w:rsid w:val="00D8741A"/>
    <w:rsid w:val="00D8791D"/>
    <w:rsid w:val="00D87D41"/>
    <w:rsid w:val="00D9196D"/>
    <w:rsid w:val="00D92982"/>
    <w:rsid w:val="00D9433E"/>
    <w:rsid w:val="00D947A7"/>
    <w:rsid w:val="00D94C35"/>
    <w:rsid w:val="00D94E97"/>
    <w:rsid w:val="00D95501"/>
    <w:rsid w:val="00DA04FC"/>
    <w:rsid w:val="00DA0F2F"/>
    <w:rsid w:val="00DA1CF0"/>
    <w:rsid w:val="00DA2184"/>
    <w:rsid w:val="00DA24D7"/>
    <w:rsid w:val="00DA2BE2"/>
    <w:rsid w:val="00DA305E"/>
    <w:rsid w:val="00DA3C72"/>
    <w:rsid w:val="00DA503B"/>
    <w:rsid w:val="00DA5417"/>
    <w:rsid w:val="00DA56E8"/>
    <w:rsid w:val="00DA59C5"/>
    <w:rsid w:val="00DA6B7A"/>
    <w:rsid w:val="00DB0A9F"/>
    <w:rsid w:val="00DB202F"/>
    <w:rsid w:val="00DB3535"/>
    <w:rsid w:val="00DB377D"/>
    <w:rsid w:val="00DB4C35"/>
    <w:rsid w:val="00DB50CE"/>
    <w:rsid w:val="00DB5A1C"/>
    <w:rsid w:val="00DB6164"/>
    <w:rsid w:val="00DB619E"/>
    <w:rsid w:val="00DB7696"/>
    <w:rsid w:val="00DB7AF6"/>
    <w:rsid w:val="00DB7C92"/>
    <w:rsid w:val="00DC05B0"/>
    <w:rsid w:val="00DC0722"/>
    <w:rsid w:val="00DC1EBB"/>
    <w:rsid w:val="00DC2080"/>
    <w:rsid w:val="00DC20F4"/>
    <w:rsid w:val="00DC2D36"/>
    <w:rsid w:val="00DC2D47"/>
    <w:rsid w:val="00DC327B"/>
    <w:rsid w:val="00DC357A"/>
    <w:rsid w:val="00DC4104"/>
    <w:rsid w:val="00DC48BD"/>
    <w:rsid w:val="00DC4AE6"/>
    <w:rsid w:val="00DC53CC"/>
    <w:rsid w:val="00DC53EF"/>
    <w:rsid w:val="00DC5B22"/>
    <w:rsid w:val="00DC5D25"/>
    <w:rsid w:val="00DC6C3C"/>
    <w:rsid w:val="00DD0762"/>
    <w:rsid w:val="00DD0CB7"/>
    <w:rsid w:val="00DD14C5"/>
    <w:rsid w:val="00DD2D4B"/>
    <w:rsid w:val="00DD42D8"/>
    <w:rsid w:val="00DD44D4"/>
    <w:rsid w:val="00DD4B1F"/>
    <w:rsid w:val="00DD5ED2"/>
    <w:rsid w:val="00DE2047"/>
    <w:rsid w:val="00DE2AD4"/>
    <w:rsid w:val="00DE2CF2"/>
    <w:rsid w:val="00DE394D"/>
    <w:rsid w:val="00DE47A5"/>
    <w:rsid w:val="00DE5531"/>
    <w:rsid w:val="00DE5608"/>
    <w:rsid w:val="00DE58D0"/>
    <w:rsid w:val="00DE5FF8"/>
    <w:rsid w:val="00DE654F"/>
    <w:rsid w:val="00DE71FD"/>
    <w:rsid w:val="00DE7565"/>
    <w:rsid w:val="00DE78AC"/>
    <w:rsid w:val="00DF0075"/>
    <w:rsid w:val="00DF0B6E"/>
    <w:rsid w:val="00DF0C86"/>
    <w:rsid w:val="00DF15E0"/>
    <w:rsid w:val="00DF21AD"/>
    <w:rsid w:val="00DF2631"/>
    <w:rsid w:val="00DF28E5"/>
    <w:rsid w:val="00DF37A0"/>
    <w:rsid w:val="00DF4D3E"/>
    <w:rsid w:val="00DF64DB"/>
    <w:rsid w:val="00DF69E1"/>
    <w:rsid w:val="00DF6E1C"/>
    <w:rsid w:val="00DF7E26"/>
    <w:rsid w:val="00DF7F5C"/>
    <w:rsid w:val="00E00056"/>
    <w:rsid w:val="00E01348"/>
    <w:rsid w:val="00E02B5E"/>
    <w:rsid w:val="00E02C39"/>
    <w:rsid w:val="00E02CB1"/>
    <w:rsid w:val="00E04905"/>
    <w:rsid w:val="00E05C7A"/>
    <w:rsid w:val="00E0643B"/>
    <w:rsid w:val="00E06952"/>
    <w:rsid w:val="00E07A2A"/>
    <w:rsid w:val="00E1098B"/>
    <w:rsid w:val="00E110E7"/>
    <w:rsid w:val="00E11B20"/>
    <w:rsid w:val="00E11C70"/>
    <w:rsid w:val="00E125FC"/>
    <w:rsid w:val="00E13136"/>
    <w:rsid w:val="00E13FDE"/>
    <w:rsid w:val="00E148D3"/>
    <w:rsid w:val="00E14B63"/>
    <w:rsid w:val="00E14BFF"/>
    <w:rsid w:val="00E14F8F"/>
    <w:rsid w:val="00E1543D"/>
    <w:rsid w:val="00E166DD"/>
    <w:rsid w:val="00E16703"/>
    <w:rsid w:val="00E16EA7"/>
    <w:rsid w:val="00E17FA2"/>
    <w:rsid w:val="00E20D4E"/>
    <w:rsid w:val="00E2136F"/>
    <w:rsid w:val="00E22330"/>
    <w:rsid w:val="00E231AE"/>
    <w:rsid w:val="00E23823"/>
    <w:rsid w:val="00E25282"/>
    <w:rsid w:val="00E2584F"/>
    <w:rsid w:val="00E25AEF"/>
    <w:rsid w:val="00E2608B"/>
    <w:rsid w:val="00E260C3"/>
    <w:rsid w:val="00E26441"/>
    <w:rsid w:val="00E27333"/>
    <w:rsid w:val="00E27C3E"/>
    <w:rsid w:val="00E27DD2"/>
    <w:rsid w:val="00E301E3"/>
    <w:rsid w:val="00E30B5A"/>
    <w:rsid w:val="00E3123D"/>
    <w:rsid w:val="00E31461"/>
    <w:rsid w:val="00E31D43"/>
    <w:rsid w:val="00E323DB"/>
    <w:rsid w:val="00E32608"/>
    <w:rsid w:val="00E34055"/>
    <w:rsid w:val="00E34188"/>
    <w:rsid w:val="00E34A40"/>
    <w:rsid w:val="00E34B6E"/>
    <w:rsid w:val="00E353C8"/>
    <w:rsid w:val="00E35559"/>
    <w:rsid w:val="00E36731"/>
    <w:rsid w:val="00E36DCE"/>
    <w:rsid w:val="00E3723A"/>
    <w:rsid w:val="00E376CA"/>
    <w:rsid w:val="00E37860"/>
    <w:rsid w:val="00E37EFC"/>
    <w:rsid w:val="00E40A56"/>
    <w:rsid w:val="00E40B35"/>
    <w:rsid w:val="00E4181E"/>
    <w:rsid w:val="00E41A6D"/>
    <w:rsid w:val="00E41ECE"/>
    <w:rsid w:val="00E42604"/>
    <w:rsid w:val="00E44305"/>
    <w:rsid w:val="00E446F1"/>
    <w:rsid w:val="00E44C4C"/>
    <w:rsid w:val="00E450B6"/>
    <w:rsid w:val="00E45151"/>
    <w:rsid w:val="00E460B2"/>
    <w:rsid w:val="00E46886"/>
    <w:rsid w:val="00E471D8"/>
    <w:rsid w:val="00E47A10"/>
    <w:rsid w:val="00E47AEF"/>
    <w:rsid w:val="00E50C00"/>
    <w:rsid w:val="00E51519"/>
    <w:rsid w:val="00E52838"/>
    <w:rsid w:val="00E53B75"/>
    <w:rsid w:val="00E5400A"/>
    <w:rsid w:val="00E5440E"/>
    <w:rsid w:val="00E544E8"/>
    <w:rsid w:val="00E54E3B"/>
    <w:rsid w:val="00E551EE"/>
    <w:rsid w:val="00E56109"/>
    <w:rsid w:val="00E56185"/>
    <w:rsid w:val="00E56701"/>
    <w:rsid w:val="00E5689D"/>
    <w:rsid w:val="00E56B9C"/>
    <w:rsid w:val="00E574EE"/>
    <w:rsid w:val="00E57565"/>
    <w:rsid w:val="00E576EF"/>
    <w:rsid w:val="00E609FB"/>
    <w:rsid w:val="00E60B58"/>
    <w:rsid w:val="00E61003"/>
    <w:rsid w:val="00E61129"/>
    <w:rsid w:val="00E63838"/>
    <w:rsid w:val="00E63D05"/>
    <w:rsid w:val="00E64434"/>
    <w:rsid w:val="00E64B80"/>
    <w:rsid w:val="00E652A0"/>
    <w:rsid w:val="00E6582A"/>
    <w:rsid w:val="00E66819"/>
    <w:rsid w:val="00E678F9"/>
    <w:rsid w:val="00E67C51"/>
    <w:rsid w:val="00E70138"/>
    <w:rsid w:val="00E707F9"/>
    <w:rsid w:val="00E709FB"/>
    <w:rsid w:val="00E7166B"/>
    <w:rsid w:val="00E716C2"/>
    <w:rsid w:val="00E72284"/>
    <w:rsid w:val="00E72EFC"/>
    <w:rsid w:val="00E73828"/>
    <w:rsid w:val="00E73DFE"/>
    <w:rsid w:val="00E74D51"/>
    <w:rsid w:val="00E7523A"/>
    <w:rsid w:val="00E758EC"/>
    <w:rsid w:val="00E763EC"/>
    <w:rsid w:val="00E7685D"/>
    <w:rsid w:val="00E76968"/>
    <w:rsid w:val="00E76E65"/>
    <w:rsid w:val="00E77F4A"/>
    <w:rsid w:val="00E80840"/>
    <w:rsid w:val="00E80B4C"/>
    <w:rsid w:val="00E8234C"/>
    <w:rsid w:val="00E82911"/>
    <w:rsid w:val="00E82A29"/>
    <w:rsid w:val="00E83AA9"/>
    <w:rsid w:val="00E84714"/>
    <w:rsid w:val="00E851F9"/>
    <w:rsid w:val="00E85928"/>
    <w:rsid w:val="00E86286"/>
    <w:rsid w:val="00E86609"/>
    <w:rsid w:val="00E86926"/>
    <w:rsid w:val="00E875A2"/>
    <w:rsid w:val="00E87822"/>
    <w:rsid w:val="00E87939"/>
    <w:rsid w:val="00E9037C"/>
    <w:rsid w:val="00E90395"/>
    <w:rsid w:val="00E9042D"/>
    <w:rsid w:val="00E90812"/>
    <w:rsid w:val="00E90E49"/>
    <w:rsid w:val="00E90F70"/>
    <w:rsid w:val="00E91562"/>
    <w:rsid w:val="00E917F9"/>
    <w:rsid w:val="00E9245B"/>
    <w:rsid w:val="00E92908"/>
    <w:rsid w:val="00E9291C"/>
    <w:rsid w:val="00E92946"/>
    <w:rsid w:val="00E93117"/>
    <w:rsid w:val="00E93FFE"/>
    <w:rsid w:val="00E94F8A"/>
    <w:rsid w:val="00E95145"/>
    <w:rsid w:val="00E97548"/>
    <w:rsid w:val="00E978CE"/>
    <w:rsid w:val="00EA10D0"/>
    <w:rsid w:val="00EA1C01"/>
    <w:rsid w:val="00EA1D59"/>
    <w:rsid w:val="00EA1EEB"/>
    <w:rsid w:val="00EA2018"/>
    <w:rsid w:val="00EA2661"/>
    <w:rsid w:val="00EA2E4C"/>
    <w:rsid w:val="00EA3687"/>
    <w:rsid w:val="00EA3879"/>
    <w:rsid w:val="00EA478D"/>
    <w:rsid w:val="00EA4B16"/>
    <w:rsid w:val="00EA5D6C"/>
    <w:rsid w:val="00EA5DBF"/>
    <w:rsid w:val="00EA6263"/>
    <w:rsid w:val="00EA6CA3"/>
    <w:rsid w:val="00EA71A0"/>
    <w:rsid w:val="00EA7839"/>
    <w:rsid w:val="00EA784E"/>
    <w:rsid w:val="00EA7A41"/>
    <w:rsid w:val="00EA7BCC"/>
    <w:rsid w:val="00EB077B"/>
    <w:rsid w:val="00EB14C4"/>
    <w:rsid w:val="00EB168F"/>
    <w:rsid w:val="00EB1EAA"/>
    <w:rsid w:val="00EB209A"/>
    <w:rsid w:val="00EB2904"/>
    <w:rsid w:val="00EB39AA"/>
    <w:rsid w:val="00EB3CAB"/>
    <w:rsid w:val="00EB4D80"/>
    <w:rsid w:val="00EB4EA2"/>
    <w:rsid w:val="00EB55A1"/>
    <w:rsid w:val="00EB57E4"/>
    <w:rsid w:val="00EB7840"/>
    <w:rsid w:val="00EB78E5"/>
    <w:rsid w:val="00EB7A12"/>
    <w:rsid w:val="00EC140C"/>
    <w:rsid w:val="00EC1670"/>
    <w:rsid w:val="00EC27C6"/>
    <w:rsid w:val="00EC36AF"/>
    <w:rsid w:val="00EC395F"/>
    <w:rsid w:val="00EC4207"/>
    <w:rsid w:val="00EC4448"/>
    <w:rsid w:val="00EC46E3"/>
    <w:rsid w:val="00EC49AF"/>
    <w:rsid w:val="00EC5653"/>
    <w:rsid w:val="00EC5AEE"/>
    <w:rsid w:val="00EC6255"/>
    <w:rsid w:val="00EC62A9"/>
    <w:rsid w:val="00EC6431"/>
    <w:rsid w:val="00EC71CE"/>
    <w:rsid w:val="00EC71D3"/>
    <w:rsid w:val="00EC77A7"/>
    <w:rsid w:val="00ED04E1"/>
    <w:rsid w:val="00ED0A13"/>
    <w:rsid w:val="00ED1006"/>
    <w:rsid w:val="00ED1A73"/>
    <w:rsid w:val="00ED1EAA"/>
    <w:rsid w:val="00ED2A61"/>
    <w:rsid w:val="00ED3243"/>
    <w:rsid w:val="00ED3D50"/>
    <w:rsid w:val="00ED3F8A"/>
    <w:rsid w:val="00ED4757"/>
    <w:rsid w:val="00ED59A3"/>
    <w:rsid w:val="00ED5E1D"/>
    <w:rsid w:val="00ED6449"/>
    <w:rsid w:val="00ED66FD"/>
    <w:rsid w:val="00ED7ADC"/>
    <w:rsid w:val="00EE0E20"/>
    <w:rsid w:val="00EE10B2"/>
    <w:rsid w:val="00EE163F"/>
    <w:rsid w:val="00EE1F8F"/>
    <w:rsid w:val="00EE2532"/>
    <w:rsid w:val="00EE29E6"/>
    <w:rsid w:val="00EE3738"/>
    <w:rsid w:val="00EE3BE4"/>
    <w:rsid w:val="00EE3F38"/>
    <w:rsid w:val="00EE40E7"/>
    <w:rsid w:val="00EE4355"/>
    <w:rsid w:val="00EE4F8B"/>
    <w:rsid w:val="00EE5820"/>
    <w:rsid w:val="00EE59C8"/>
    <w:rsid w:val="00EE5A7B"/>
    <w:rsid w:val="00EE6451"/>
    <w:rsid w:val="00EE651E"/>
    <w:rsid w:val="00EE67C5"/>
    <w:rsid w:val="00EE6AD8"/>
    <w:rsid w:val="00EE6BC8"/>
    <w:rsid w:val="00EE73BC"/>
    <w:rsid w:val="00EF025F"/>
    <w:rsid w:val="00EF0412"/>
    <w:rsid w:val="00EF09B1"/>
    <w:rsid w:val="00EF0B5E"/>
    <w:rsid w:val="00EF0BD3"/>
    <w:rsid w:val="00EF18FE"/>
    <w:rsid w:val="00EF2432"/>
    <w:rsid w:val="00EF2734"/>
    <w:rsid w:val="00EF2BDD"/>
    <w:rsid w:val="00EF2F6C"/>
    <w:rsid w:val="00EF351C"/>
    <w:rsid w:val="00EF3B2C"/>
    <w:rsid w:val="00EF4780"/>
    <w:rsid w:val="00EF4820"/>
    <w:rsid w:val="00EF4EE2"/>
    <w:rsid w:val="00EF55D8"/>
    <w:rsid w:val="00EF5787"/>
    <w:rsid w:val="00EF59B8"/>
    <w:rsid w:val="00EF5EEC"/>
    <w:rsid w:val="00EF5F5E"/>
    <w:rsid w:val="00EF60D0"/>
    <w:rsid w:val="00EF62AB"/>
    <w:rsid w:val="00EF64CE"/>
    <w:rsid w:val="00F00F8D"/>
    <w:rsid w:val="00F01604"/>
    <w:rsid w:val="00F01ED3"/>
    <w:rsid w:val="00F025D5"/>
    <w:rsid w:val="00F02714"/>
    <w:rsid w:val="00F0272B"/>
    <w:rsid w:val="00F027B3"/>
    <w:rsid w:val="00F02A35"/>
    <w:rsid w:val="00F02E4D"/>
    <w:rsid w:val="00F0439C"/>
    <w:rsid w:val="00F043A3"/>
    <w:rsid w:val="00F045AA"/>
    <w:rsid w:val="00F047C3"/>
    <w:rsid w:val="00F0528D"/>
    <w:rsid w:val="00F05FBA"/>
    <w:rsid w:val="00F066A3"/>
    <w:rsid w:val="00F06A8E"/>
    <w:rsid w:val="00F06C67"/>
    <w:rsid w:val="00F06DFD"/>
    <w:rsid w:val="00F071D1"/>
    <w:rsid w:val="00F07533"/>
    <w:rsid w:val="00F10228"/>
    <w:rsid w:val="00F10399"/>
    <w:rsid w:val="00F10629"/>
    <w:rsid w:val="00F10BF1"/>
    <w:rsid w:val="00F1189E"/>
    <w:rsid w:val="00F12225"/>
    <w:rsid w:val="00F12F8F"/>
    <w:rsid w:val="00F13226"/>
    <w:rsid w:val="00F14FD7"/>
    <w:rsid w:val="00F1517C"/>
    <w:rsid w:val="00F15F69"/>
    <w:rsid w:val="00F15FA5"/>
    <w:rsid w:val="00F17853"/>
    <w:rsid w:val="00F17A76"/>
    <w:rsid w:val="00F17F6B"/>
    <w:rsid w:val="00F204A3"/>
    <w:rsid w:val="00F20945"/>
    <w:rsid w:val="00F209B7"/>
    <w:rsid w:val="00F20C76"/>
    <w:rsid w:val="00F2136A"/>
    <w:rsid w:val="00F2152A"/>
    <w:rsid w:val="00F215C1"/>
    <w:rsid w:val="00F217D3"/>
    <w:rsid w:val="00F21E40"/>
    <w:rsid w:val="00F2376F"/>
    <w:rsid w:val="00F23E3A"/>
    <w:rsid w:val="00F243D8"/>
    <w:rsid w:val="00F24C49"/>
    <w:rsid w:val="00F2503D"/>
    <w:rsid w:val="00F258EC"/>
    <w:rsid w:val="00F25B66"/>
    <w:rsid w:val="00F25EB0"/>
    <w:rsid w:val="00F263BE"/>
    <w:rsid w:val="00F26BB4"/>
    <w:rsid w:val="00F2793D"/>
    <w:rsid w:val="00F27FA0"/>
    <w:rsid w:val="00F30828"/>
    <w:rsid w:val="00F313D6"/>
    <w:rsid w:val="00F32F2E"/>
    <w:rsid w:val="00F33B9D"/>
    <w:rsid w:val="00F358CB"/>
    <w:rsid w:val="00F35EF1"/>
    <w:rsid w:val="00F3728F"/>
    <w:rsid w:val="00F37C8E"/>
    <w:rsid w:val="00F37D47"/>
    <w:rsid w:val="00F37E63"/>
    <w:rsid w:val="00F40146"/>
    <w:rsid w:val="00F40F0C"/>
    <w:rsid w:val="00F41037"/>
    <w:rsid w:val="00F41D9F"/>
    <w:rsid w:val="00F440F7"/>
    <w:rsid w:val="00F45437"/>
    <w:rsid w:val="00F454E0"/>
    <w:rsid w:val="00F4602A"/>
    <w:rsid w:val="00F46A96"/>
    <w:rsid w:val="00F47411"/>
    <w:rsid w:val="00F4766C"/>
    <w:rsid w:val="00F47923"/>
    <w:rsid w:val="00F47AA3"/>
    <w:rsid w:val="00F47B0E"/>
    <w:rsid w:val="00F502C2"/>
    <w:rsid w:val="00F5060E"/>
    <w:rsid w:val="00F507D1"/>
    <w:rsid w:val="00F50CD0"/>
    <w:rsid w:val="00F519CE"/>
    <w:rsid w:val="00F51ADA"/>
    <w:rsid w:val="00F535E4"/>
    <w:rsid w:val="00F54617"/>
    <w:rsid w:val="00F54FC0"/>
    <w:rsid w:val="00F569BC"/>
    <w:rsid w:val="00F56A50"/>
    <w:rsid w:val="00F5709B"/>
    <w:rsid w:val="00F5739F"/>
    <w:rsid w:val="00F57C72"/>
    <w:rsid w:val="00F604D8"/>
    <w:rsid w:val="00F607C5"/>
    <w:rsid w:val="00F60A6E"/>
    <w:rsid w:val="00F60DEA"/>
    <w:rsid w:val="00F61E79"/>
    <w:rsid w:val="00F62344"/>
    <w:rsid w:val="00F6302A"/>
    <w:rsid w:val="00F632CE"/>
    <w:rsid w:val="00F64C2B"/>
    <w:rsid w:val="00F64CAA"/>
    <w:rsid w:val="00F651BE"/>
    <w:rsid w:val="00F6525E"/>
    <w:rsid w:val="00F65970"/>
    <w:rsid w:val="00F665FA"/>
    <w:rsid w:val="00F66B9F"/>
    <w:rsid w:val="00F66BCF"/>
    <w:rsid w:val="00F66D9F"/>
    <w:rsid w:val="00F67D50"/>
    <w:rsid w:val="00F67F53"/>
    <w:rsid w:val="00F703BE"/>
    <w:rsid w:val="00F706CA"/>
    <w:rsid w:val="00F70E75"/>
    <w:rsid w:val="00F711B7"/>
    <w:rsid w:val="00F712EB"/>
    <w:rsid w:val="00F71E50"/>
    <w:rsid w:val="00F71F69"/>
    <w:rsid w:val="00F72B72"/>
    <w:rsid w:val="00F72FDF"/>
    <w:rsid w:val="00F730ED"/>
    <w:rsid w:val="00F73190"/>
    <w:rsid w:val="00F73614"/>
    <w:rsid w:val="00F73E5A"/>
    <w:rsid w:val="00F748DE"/>
    <w:rsid w:val="00F74BB9"/>
    <w:rsid w:val="00F74FDE"/>
    <w:rsid w:val="00F75582"/>
    <w:rsid w:val="00F75AE0"/>
    <w:rsid w:val="00F76ACA"/>
    <w:rsid w:val="00F76EFA"/>
    <w:rsid w:val="00F77149"/>
    <w:rsid w:val="00F7756E"/>
    <w:rsid w:val="00F77AD8"/>
    <w:rsid w:val="00F77D4E"/>
    <w:rsid w:val="00F804BE"/>
    <w:rsid w:val="00F804F9"/>
    <w:rsid w:val="00F814FE"/>
    <w:rsid w:val="00F817CE"/>
    <w:rsid w:val="00F825B7"/>
    <w:rsid w:val="00F83179"/>
    <w:rsid w:val="00F83FEE"/>
    <w:rsid w:val="00F8456C"/>
    <w:rsid w:val="00F857F2"/>
    <w:rsid w:val="00F859D8"/>
    <w:rsid w:val="00F8613E"/>
    <w:rsid w:val="00F861B5"/>
    <w:rsid w:val="00F868F5"/>
    <w:rsid w:val="00F9056A"/>
    <w:rsid w:val="00F90F8D"/>
    <w:rsid w:val="00F91077"/>
    <w:rsid w:val="00F91FDC"/>
    <w:rsid w:val="00F92782"/>
    <w:rsid w:val="00F93AA9"/>
    <w:rsid w:val="00F95C63"/>
    <w:rsid w:val="00F95ECD"/>
    <w:rsid w:val="00F95FA2"/>
    <w:rsid w:val="00F96464"/>
    <w:rsid w:val="00F96985"/>
    <w:rsid w:val="00F96DDF"/>
    <w:rsid w:val="00F97127"/>
    <w:rsid w:val="00F97838"/>
    <w:rsid w:val="00F97C70"/>
    <w:rsid w:val="00FA03DC"/>
    <w:rsid w:val="00FA0532"/>
    <w:rsid w:val="00FA0F1E"/>
    <w:rsid w:val="00FA1717"/>
    <w:rsid w:val="00FA1970"/>
    <w:rsid w:val="00FA204A"/>
    <w:rsid w:val="00FA2BB3"/>
    <w:rsid w:val="00FA2C57"/>
    <w:rsid w:val="00FA362C"/>
    <w:rsid w:val="00FA3BB7"/>
    <w:rsid w:val="00FA4A1B"/>
    <w:rsid w:val="00FA6E88"/>
    <w:rsid w:val="00FA75EC"/>
    <w:rsid w:val="00FB0072"/>
    <w:rsid w:val="00FB0DC1"/>
    <w:rsid w:val="00FB1494"/>
    <w:rsid w:val="00FB1696"/>
    <w:rsid w:val="00FB20C9"/>
    <w:rsid w:val="00FB29E7"/>
    <w:rsid w:val="00FB2D42"/>
    <w:rsid w:val="00FB4861"/>
    <w:rsid w:val="00FB4C80"/>
    <w:rsid w:val="00FB5282"/>
    <w:rsid w:val="00FB545A"/>
    <w:rsid w:val="00FB54A7"/>
    <w:rsid w:val="00FB5C69"/>
    <w:rsid w:val="00FB5E1E"/>
    <w:rsid w:val="00FB63B9"/>
    <w:rsid w:val="00FB6651"/>
    <w:rsid w:val="00FB6805"/>
    <w:rsid w:val="00FB6A6A"/>
    <w:rsid w:val="00FB715C"/>
    <w:rsid w:val="00FC0461"/>
    <w:rsid w:val="00FC247A"/>
    <w:rsid w:val="00FC3798"/>
    <w:rsid w:val="00FC3AC5"/>
    <w:rsid w:val="00FC536B"/>
    <w:rsid w:val="00FC58B2"/>
    <w:rsid w:val="00FC66C7"/>
    <w:rsid w:val="00FC6F4A"/>
    <w:rsid w:val="00FC717C"/>
    <w:rsid w:val="00FC7429"/>
    <w:rsid w:val="00FC7433"/>
    <w:rsid w:val="00FC78C2"/>
    <w:rsid w:val="00FD03FE"/>
    <w:rsid w:val="00FD05E7"/>
    <w:rsid w:val="00FD07F6"/>
    <w:rsid w:val="00FD0CB6"/>
    <w:rsid w:val="00FD0EF6"/>
    <w:rsid w:val="00FD10A8"/>
    <w:rsid w:val="00FD15BE"/>
    <w:rsid w:val="00FD1D9D"/>
    <w:rsid w:val="00FD1EC8"/>
    <w:rsid w:val="00FD2187"/>
    <w:rsid w:val="00FD3E21"/>
    <w:rsid w:val="00FD47ED"/>
    <w:rsid w:val="00FD4907"/>
    <w:rsid w:val="00FD5337"/>
    <w:rsid w:val="00FD5407"/>
    <w:rsid w:val="00FD543B"/>
    <w:rsid w:val="00FD5FF4"/>
    <w:rsid w:val="00FD61F8"/>
    <w:rsid w:val="00FD74DB"/>
    <w:rsid w:val="00FD7660"/>
    <w:rsid w:val="00FD7907"/>
    <w:rsid w:val="00FE02F5"/>
    <w:rsid w:val="00FE0345"/>
    <w:rsid w:val="00FE0599"/>
    <w:rsid w:val="00FE0655"/>
    <w:rsid w:val="00FE1F35"/>
    <w:rsid w:val="00FE1F5A"/>
    <w:rsid w:val="00FE2365"/>
    <w:rsid w:val="00FE247B"/>
    <w:rsid w:val="00FE37D7"/>
    <w:rsid w:val="00FE3C75"/>
    <w:rsid w:val="00FE48B1"/>
    <w:rsid w:val="00FE4C7B"/>
    <w:rsid w:val="00FE5487"/>
    <w:rsid w:val="00FE5EDB"/>
    <w:rsid w:val="00FE658D"/>
    <w:rsid w:val="00FE6904"/>
    <w:rsid w:val="00FE6F94"/>
    <w:rsid w:val="00FE7336"/>
    <w:rsid w:val="00FE787C"/>
    <w:rsid w:val="00FF0EA2"/>
    <w:rsid w:val="00FF1078"/>
    <w:rsid w:val="00FF17DF"/>
    <w:rsid w:val="00FF185F"/>
    <w:rsid w:val="00FF4156"/>
    <w:rsid w:val="00FF4334"/>
    <w:rsid w:val="00FF45A5"/>
    <w:rsid w:val="00FF4D21"/>
    <w:rsid w:val="00FF5581"/>
    <w:rsid w:val="00FF5C91"/>
    <w:rsid w:val="00FF75DC"/>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3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35"/>
    <w:rsid w:val="0007398C"/>
    <w:rPr>
      <w:rFonts w:ascii="Times New Roman" w:hAnsi="Times New Roman"/>
      <w:b/>
      <w:bCs/>
      <w:lang w:val="en-GB" w:eastAsia="zh-CN"/>
    </w:rPr>
  </w:style>
  <w:style w:type="paragraph" w:customStyle="1" w:styleId="IvDtabletext">
    <w:name w:val="IvD tabletext"/>
    <w:basedOn w:val="BodyText"/>
    <w:link w:val="IvDtabletextChar"/>
    <w:rsid w:val="00B14355"/>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hAnsi="Arial"/>
      <w:spacing w:val="2"/>
      <w:lang w:val="en-US" w:eastAsia="en-US"/>
    </w:rPr>
  </w:style>
  <w:style w:type="character" w:customStyle="1" w:styleId="IvDtabletextChar">
    <w:name w:val="IvD tabletext Char"/>
    <w:basedOn w:val="DefaultParagraphFont"/>
    <w:link w:val="IvDtabletext"/>
    <w:rsid w:val="00B14355"/>
    <w:rPr>
      <w:rFonts w:ascii="Arial" w:hAnsi="Arial"/>
      <w:spacing w:val="2"/>
    </w:rPr>
  </w:style>
  <w:style w:type="character" w:styleId="UnresolvedMention">
    <w:name w:val="Unresolved Mention"/>
    <w:basedOn w:val="DefaultParagraphFont"/>
    <w:uiPriority w:val="99"/>
    <w:semiHidden/>
    <w:unhideWhenUsed/>
    <w:rsid w:val="001617D0"/>
    <w:rPr>
      <w:color w:val="605E5C"/>
      <w:shd w:val="clear" w:color="auto" w:fill="E1DFDD"/>
    </w:rPr>
  </w:style>
  <w:style w:type="character" w:customStyle="1" w:styleId="Style1Char">
    <w:name w:val="Style1 Char"/>
    <w:link w:val="Style1"/>
    <w:locked/>
    <w:rsid w:val="009C7566"/>
    <w:rPr>
      <w:rFonts w:ascii="Malgun Gothic" w:eastAsia="Malgun Gothic" w:hAnsi="Malgun Gothic" w:cs="Batang"/>
      <w:lang w:val="en-GB"/>
    </w:rPr>
  </w:style>
  <w:style w:type="paragraph" w:customStyle="1" w:styleId="Style1">
    <w:name w:val="Style1"/>
    <w:basedOn w:val="Normal"/>
    <w:link w:val="Style1Char"/>
    <w:qFormat/>
    <w:rsid w:val="009C7566"/>
    <w:pPr>
      <w:overflowPunct/>
      <w:autoSpaceDE/>
      <w:autoSpaceDN/>
      <w:adjustRightInd/>
      <w:spacing w:after="180" w:line="288" w:lineRule="auto"/>
      <w:ind w:firstLine="360"/>
      <w:textAlignment w:val="auto"/>
    </w:pPr>
    <w:rPr>
      <w:rFonts w:ascii="Malgun Gothic" w:eastAsia="Malgun Gothic" w:hAnsi="Malgun Gothic" w:cs="Batang"/>
      <w:lang w:eastAsia="en-US"/>
    </w:rPr>
  </w:style>
  <w:style w:type="character" w:customStyle="1" w:styleId="PLChar">
    <w:name w:val="PL Char"/>
    <w:link w:val="PL"/>
    <w:qFormat/>
    <w:locked/>
    <w:rsid w:val="00155569"/>
    <w:rPr>
      <w:rFonts w:ascii="Courier New" w:hAnsi="Courier New" w:cs="Courier New"/>
      <w:noProof/>
      <w:sz w:val="16"/>
      <w:shd w:val="clear" w:color="auto" w:fill="E6E6E6"/>
      <w:lang w:val="en-GB" w:eastAsia="en-GB"/>
    </w:rPr>
  </w:style>
  <w:style w:type="paragraph" w:customStyle="1" w:styleId="PL">
    <w:name w:val="PL"/>
    <w:link w:val="PLChar"/>
    <w:qFormat/>
    <w:rsid w:val="001555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8581">
      <w:bodyDiv w:val="1"/>
      <w:marLeft w:val="0"/>
      <w:marRight w:val="0"/>
      <w:marTop w:val="0"/>
      <w:marBottom w:val="0"/>
      <w:divBdr>
        <w:top w:val="none" w:sz="0" w:space="0" w:color="auto"/>
        <w:left w:val="none" w:sz="0" w:space="0" w:color="auto"/>
        <w:bottom w:val="none" w:sz="0" w:space="0" w:color="auto"/>
        <w:right w:val="none" w:sz="0" w:space="0" w:color="auto"/>
      </w:divBdr>
    </w:div>
    <w:div w:id="39407945">
      <w:bodyDiv w:val="1"/>
      <w:marLeft w:val="0"/>
      <w:marRight w:val="0"/>
      <w:marTop w:val="0"/>
      <w:marBottom w:val="0"/>
      <w:divBdr>
        <w:top w:val="none" w:sz="0" w:space="0" w:color="auto"/>
        <w:left w:val="none" w:sz="0" w:space="0" w:color="auto"/>
        <w:bottom w:val="none" w:sz="0" w:space="0" w:color="auto"/>
        <w:right w:val="none" w:sz="0" w:space="0" w:color="auto"/>
      </w:divBdr>
      <w:divsChild>
        <w:div w:id="1406731368">
          <w:marLeft w:val="2794"/>
          <w:marRight w:val="0"/>
          <w:marTop w:val="60"/>
          <w:marBottom w:val="0"/>
          <w:divBdr>
            <w:top w:val="none" w:sz="0" w:space="0" w:color="auto"/>
            <w:left w:val="none" w:sz="0" w:space="0" w:color="auto"/>
            <w:bottom w:val="none" w:sz="0" w:space="0" w:color="auto"/>
            <w:right w:val="none" w:sz="0" w:space="0" w:color="auto"/>
          </w:divBdr>
        </w:div>
      </w:divsChild>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161818766">
      <w:bodyDiv w:val="1"/>
      <w:marLeft w:val="0"/>
      <w:marRight w:val="0"/>
      <w:marTop w:val="0"/>
      <w:marBottom w:val="0"/>
      <w:divBdr>
        <w:top w:val="none" w:sz="0" w:space="0" w:color="auto"/>
        <w:left w:val="none" w:sz="0" w:space="0" w:color="auto"/>
        <w:bottom w:val="none" w:sz="0" w:space="0" w:color="auto"/>
        <w:right w:val="none" w:sz="0" w:space="0" w:color="auto"/>
      </w:divBdr>
    </w:div>
    <w:div w:id="193082786">
      <w:bodyDiv w:val="1"/>
      <w:marLeft w:val="0"/>
      <w:marRight w:val="0"/>
      <w:marTop w:val="0"/>
      <w:marBottom w:val="0"/>
      <w:divBdr>
        <w:top w:val="none" w:sz="0" w:space="0" w:color="auto"/>
        <w:left w:val="none" w:sz="0" w:space="0" w:color="auto"/>
        <w:bottom w:val="none" w:sz="0" w:space="0" w:color="auto"/>
        <w:right w:val="none" w:sz="0" w:space="0" w:color="auto"/>
      </w:divBdr>
    </w:div>
    <w:div w:id="211699050">
      <w:bodyDiv w:val="1"/>
      <w:marLeft w:val="0"/>
      <w:marRight w:val="0"/>
      <w:marTop w:val="0"/>
      <w:marBottom w:val="0"/>
      <w:divBdr>
        <w:top w:val="none" w:sz="0" w:space="0" w:color="auto"/>
        <w:left w:val="none" w:sz="0" w:space="0" w:color="auto"/>
        <w:bottom w:val="none" w:sz="0" w:space="0" w:color="auto"/>
        <w:right w:val="none" w:sz="0" w:space="0" w:color="auto"/>
      </w:divBdr>
    </w:div>
    <w:div w:id="236018281">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287316618">
      <w:bodyDiv w:val="1"/>
      <w:marLeft w:val="0"/>
      <w:marRight w:val="0"/>
      <w:marTop w:val="0"/>
      <w:marBottom w:val="0"/>
      <w:divBdr>
        <w:top w:val="none" w:sz="0" w:space="0" w:color="auto"/>
        <w:left w:val="none" w:sz="0" w:space="0" w:color="auto"/>
        <w:bottom w:val="none" w:sz="0" w:space="0" w:color="auto"/>
        <w:right w:val="none" w:sz="0" w:space="0" w:color="auto"/>
      </w:divBdr>
    </w:div>
    <w:div w:id="365524382">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549072880">
      <w:bodyDiv w:val="1"/>
      <w:marLeft w:val="0"/>
      <w:marRight w:val="0"/>
      <w:marTop w:val="0"/>
      <w:marBottom w:val="0"/>
      <w:divBdr>
        <w:top w:val="none" w:sz="0" w:space="0" w:color="auto"/>
        <w:left w:val="none" w:sz="0" w:space="0" w:color="auto"/>
        <w:bottom w:val="none" w:sz="0" w:space="0" w:color="auto"/>
        <w:right w:val="none" w:sz="0" w:space="0" w:color="auto"/>
      </w:divBdr>
    </w:div>
    <w:div w:id="576982318">
      <w:bodyDiv w:val="1"/>
      <w:marLeft w:val="0"/>
      <w:marRight w:val="0"/>
      <w:marTop w:val="0"/>
      <w:marBottom w:val="0"/>
      <w:divBdr>
        <w:top w:val="none" w:sz="0" w:space="0" w:color="auto"/>
        <w:left w:val="none" w:sz="0" w:space="0" w:color="auto"/>
        <w:bottom w:val="none" w:sz="0" w:space="0" w:color="auto"/>
        <w:right w:val="none" w:sz="0" w:space="0" w:color="auto"/>
      </w:divBdr>
    </w:div>
    <w:div w:id="588008535">
      <w:bodyDiv w:val="1"/>
      <w:marLeft w:val="0"/>
      <w:marRight w:val="0"/>
      <w:marTop w:val="0"/>
      <w:marBottom w:val="0"/>
      <w:divBdr>
        <w:top w:val="none" w:sz="0" w:space="0" w:color="auto"/>
        <w:left w:val="none" w:sz="0" w:space="0" w:color="auto"/>
        <w:bottom w:val="none" w:sz="0" w:space="0" w:color="auto"/>
        <w:right w:val="none" w:sz="0" w:space="0" w:color="auto"/>
      </w:divBdr>
    </w:div>
    <w:div w:id="61494752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62858296">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9326963">
      <w:bodyDiv w:val="1"/>
      <w:marLeft w:val="0"/>
      <w:marRight w:val="0"/>
      <w:marTop w:val="0"/>
      <w:marBottom w:val="0"/>
      <w:divBdr>
        <w:top w:val="none" w:sz="0" w:space="0" w:color="auto"/>
        <w:left w:val="none" w:sz="0" w:space="0" w:color="auto"/>
        <w:bottom w:val="none" w:sz="0" w:space="0" w:color="auto"/>
        <w:right w:val="none" w:sz="0" w:space="0" w:color="auto"/>
      </w:divBdr>
    </w:div>
    <w:div w:id="728193036">
      <w:bodyDiv w:val="1"/>
      <w:marLeft w:val="0"/>
      <w:marRight w:val="0"/>
      <w:marTop w:val="0"/>
      <w:marBottom w:val="0"/>
      <w:divBdr>
        <w:top w:val="none" w:sz="0" w:space="0" w:color="auto"/>
        <w:left w:val="none" w:sz="0" w:space="0" w:color="auto"/>
        <w:bottom w:val="none" w:sz="0" w:space="0" w:color="auto"/>
        <w:right w:val="none" w:sz="0" w:space="0" w:color="auto"/>
      </w:divBdr>
      <w:divsChild>
        <w:div w:id="1720517482">
          <w:marLeft w:val="547"/>
          <w:marRight w:val="0"/>
          <w:marTop w:val="60"/>
          <w:marBottom w:val="0"/>
          <w:divBdr>
            <w:top w:val="none" w:sz="0" w:space="0" w:color="auto"/>
            <w:left w:val="none" w:sz="0" w:space="0" w:color="auto"/>
            <w:bottom w:val="none" w:sz="0" w:space="0" w:color="auto"/>
            <w:right w:val="none" w:sz="0" w:space="0" w:color="auto"/>
          </w:divBdr>
        </w:div>
        <w:div w:id="60057136">
          <w:marLeft w:val="1123"/>
          <w:marRight w:val="0"/>
          <w:marTop w:val="60"/>
          <w:marBottom w:val="0"/>
          <w:divBdr>
            <w:top w:val="none" w:sz="0" w:space="0" w:color="auto"/>
            <w:left w:val="none" w:sz="0" w:space="0" w:color="auto"/>
            <w:bottom w:val="none" w:sz="0" w:space="0" w:color="auto"/>
            <w:right w:val="none" w:sz="0" w:space="0" w:color="auto"/>
          </w:divBdr>
        </w:div>
        <w:div w:id="2013029240">
          <w:marLeft w:val="1123"/>
          <w:marRight w:val="0"/>
          <w:marTop w:val="60"/>
          <w:marBottom w:val="0"/>
          <w:divBdr>
            <w:top w:val="none" w:sz="0" w:space="0" w:color="auto"/>
            <w:left w:val="none" w:sz="0" w:space="0" w:color="auto"/>
            <w:bottom w:val="none" w:sz="0" w:space="0" w:color="auto"/>
            <w:right w:val="none" w:sz="0" w:space="0" w:color="auto"/>
          </w:divBdr>
        </w:div>
        <w:div w:id="1461797680">
          <w:marLeft w:val="1123"/>
          <w:marRight w:val="0"/>
          <w:marTop w:val="60"/>
          <w:marBottom w:val="0"/>
          <w:divBdr>
            <w:top w:val="none" w:sz="0" w:space="0" w:color="auto"/>
            <w:left w:val="none" w:sz="0" w:space="0" w:color="auto"/>
            <w:bottom w:val="none" w:sz="0" w:space="0" w:color="auto"/>
            <w:right w:val="none" w:sz="0" w:space="0" w:color="auto"/>
          </w:divBdr>
        </w:div>
      </w:divsChild>
    </w:div>
    <w:div w:id="732702825">
      <w:bodyDiv w:val="1"/>
      <w:marLeft w:val="0"/>
      <w:marRight w:val="0"/>
      <w:marTop w:val="0"/>
      <w:marBottom w:val="0"/>
      <w:divBdr>
        <w:top w:val="none" w:sz="0" w:space="0" w:color="auto"/>
        <w:left w:val="none" w:sz="0" w:space="0" w:color="auto"/>
        <w:bottom w:val="none" w:sz="0" w:space="0" w:color="auto"/>
        <w:right w:val="none" w:sz="0" w:space="0" w:color="auto"/>
      </w:divBdr>
    </w:div>
    <w:div w:id="819463478">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874583865">
      <w:bodyDiv w:val="1"/>
      <w:marLeft w:val="0"/>
      <w:marRight w:val="0"/>
      <w:marTop w:val="0"/>
      <w:marBottom w:val="0"/>
      <w:divBdr>
        <w:top w:val="none" w:sz="0" w:space="0" w:color="auto"/>
        <w:left w:val="none" w:sz="0" w:space="0" w:color="auto"/>
        <w:bottom w:val="none" w:sz="0" w:space="0" w:color="auto"/>
        <w:right w:val="none" w:sz="0" w:space="0" w:color="auto"/>
      </w:divBdr>
    </w:div>
    <w:div w:id="883104376">
      <w:bodyDiv w:val="1"/>
      <w:marLeft w:val="0"/>
      <w:marRight w:val="0"/>
      <w:marTop w:val="0"/>
      <w:marBottom w:val="0"/>
      <w:divBdr>
        <w:top w:val="none" w:sz="0" w:space="0" w:color="auto"/>
        <w:left w:val="none" w:sz="0" w:space="0" w:color="auto"/>
        <w:bottom w:val="none" w:sz="0" w:space="0" w:color="auto"/>
        <w:right w:val="none" w:sz="0" w:space="0" w:color="auto"/>
      </w:divBdr>
    </w:div>
    <w:div w:id="893783154">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932974982">
      <w:bodyDiv w:val="1"/>
      <w:marLeft w:val="0"/>
      <w:marRight w:val="0"/>
      <w:marTop w:val="0"/>
      <w:marBottom w:val="0"/>
      <w:divBdr>
        <w:top w:val="none" w:sz="0" w:space="0" w:color="auto"/>
        <w:left w:val="none" w:sz="0" w:space="0" w:color="auto"/>
        <w:bottom w:val="none" w:sz="0" w:space="0" w:color="auto"/>
        <w:right w:val="none" w:sz="0" w:space="0" w:color="auto"/>
      </w:divBdr>
    </w:div>
    <w:div w:id="935479121">
      <w:bodyDiv w:val="1"/>
      <w:marLeft w:val="0"/>
      <w:marRight w:val="0"/>
      <w:marTop w:val="0"/>
      <w:marBottom w:val="0"/>
      <w:divBdr>
        <w:top w:val="none" w:sz="0" w:space="0" w:color="auto"/>
        <w:left w:val="none" w:sz="0" w:space="0" w:color="auto"/>
        <w:bottom w:val="none" w:sz="0" w:space="0" w:color="auto"/>
        <w:right w:val="none" w:sz="0" w:space="0" w:color="auto"/>
      </w:divBdr>
    </w:div>
    <w:div w:id="943001963">
      <w:bodyDiv w:val="1"/>
      <w:marLeft w:val="0"/>
      <w:marRight w:val="0"/>
      <w:marTop w:val="0"/>
      <w:marBottom w:val="0"/>
      <w:divBdr>
        <w:top w:val="none" w:sz="0" w:space="0" w:color="auto"/>
        <w:left w:val="none" w:sz="0" w:space="0" w:color="auto"/>
        <w:bottom w:val="none" w:sz="0" w:space="0" w:color="auto"/>
        <w:right w:val="none" w:sz="0" w:space="0" w:color="auto"/>
      </w:divBdr>
      <w:divsChild>
        <w:div w:id="54084326">
          <w:marLeft w:val="1123"/>
          <w:marRight w:val="0"/>
          <w:marTop w:val="60"/>
          <w:marBottom w:val="0"/>
          <w:divBdr>
            <w:top w:val="none" w:sz="0" w:space="0" w:color="auto"/>
            <w:left w:val="none" w:sz="0" w:space="0" w:color="auto"/>
            <w:bottom w:val="none" w:sz="0" w:space="0" w:color="auto"/>
            <w:right w:val="none" w:sz="0" w:space="0" w:color="auto"/>
          </w:divBdr>
        </w:div>
        <w:div w:id="1538394346">
          <w:marLeft w:val="1699"/>
          <w:marRight w:val="0"/>
          <w:marTop w:val="60"/>
          <w:marBottom w:val="0"/>
          <w:divBdr>
            <w:top w:val="none" w:sz="0" w:space="0" w:color="auto"/>
            <w:left w:val="none" w:sz="0" w:space="0" w:color="auto"/>
            <w:bottom w:val="none" w:sz="0" w:space="0" w:color="auto"/>
            <w:right w:val="none" w:sz="0" w:space="0" w:color="auto"/>
          </w:divBdr>
        </w:div>
        <w:div w:id="1459492760">
          <w:marLeft w:val="1699"/>
          <w:marRight w:val="0"/>
          <w:marTop w:val="60"/>
          <w:marBottom w:val="0"/>
          <w:divBdr>
            <w:top w:val="none" w:sz="0" w:space="0" w:color="auto"/>
            <w:left w:val="none" w:sz="0" w:space="0" w:color="auto"/>
            <w:bottom w:val="none" w:sz="0" w:space="0" w:color="auto"/>
            <w:right w:val="none" w:sz="0" w:space="0" w:color="auto"/>
          </w:divBdr>
        </w:div>
      </w:divsChild>
    </w:div>
    <w:div w:id="1041172927">
      <w:bodyDiv w:val="1"/>
      <w:marLeft w:val="0"/>
      <w:marRight w:val="0"/>
      <w:marTop w:val="0"/>
      <w:marBottom w:val="0"/>
      <w:divBdr>
        <w:top w:val="none" w:sz="0" w:space="0" w:color="auto"/>
        <w:left w:val="none" w:sz="0" w:space="0" w:color="auto"/>
        <w:bottom w:val="none" w:sz="0" w:space="0" w:color="auto"/>
        <w:right w:val="none" w:sz="0" w:space="0" w:color="auto"/>
      </w:divBdr>
    </w:div>
    <w:div w:id="1107233141">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293054472">
      <w:bodyDiv w:val="1"/>
      <w:marLeft w:val="0"/>
      <w:marRight w:val="0"/>
      <w:marTop w:val="0"/>
      <w:marBottom w:val="0"/>
      <w:divBdr>
        <w:top w:val="none" w:sz="0" w:space="0" w:color="auto"/>
        <w:left w:val="none" w:sz="0" w:space="0" w:color="auto"/>
        <w:bottom w:val="none" w:sz="0" w:space="0" w:color="auto"/>
        <w:right w:val="none" w:sz="0" w:space="0" w:color="auto"/>
      </w:divBdr>
    </w:div>
    <w:div w:id="1330018413">
      <w:bodyDiv w:val="1"/>
      <w:marLeft w:val="0"/>
      <w:marRight w:val="0"/>
      <w:marTop w:val="0"/>
      <w:marBottom w:val="0"/>
      <w:divBdr>
        <w:top w:val="none" w:sz="0" w:space="0" w:color="auto"/>
        <w:left w:val="none" w:sz="0" w:space="0" w:color="auto"/>
        <w:bottom w:val="none" w:sz="0" w:space="0" w:color="auto"/>
        <w:right w:val="none" w:sz="0" w:space="0" w:color="auto"/>
      </w:divBdr>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47847942">
      <w:bodyDiv w:val="1"/>
      <w:marLeft w:val="0"/>
      <w:marRight w:val="0"/>
      <w:marTop w:val="0"/>
      <w:marBottom w:val="0"/>
      <w:divBdr>
        <w:top w:val="none" w:sz="0" w:space="0" w:color="auto"/>
        <w:left w:val="none" w:sz="0" w:space="0" w:color="auto"/>
        <w:bottom w:val="none" w:sz="0" w:space="0" w:color="auto"/>
        <w:right w:val="none" w:sz="0" w:space="0" w:color="auto"/>
      </w:divBdr>
    </w:div>
    <w:div w:id="1480614966">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497382252">
      <w:bodyDiv w:val="1"/>
      <w:marLeft w:val="0"/>
      <w:marRight w:val="0"/>
      <w:marTop w:val="0"/>
      <w:marBottom w:val="0"/>
      <w:divBdr>
        <w:top w:val="none" w:sz="0" w:space="0" w:color="auto"/>
        <w:left w:val="none" w:sz="0" w:space="0" w:color="auto"/>
        <w:bottom w:val="none" w:sz="0" w:space="0" w:color="auto"/>
        <w:right w:val="none" w:sz="0" w:space="0" w:color="auto"/>
      </w:divBdr>
    </w:div>
    <w:div w:id="1499686156">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523397001">
      <w:bodyDiv w:val="1"/>
      <w:marLeft w:val="0"/>
      <w:marRight w:val="0"/>
      <w:marTop w:val="0"/>
      <w:marBottom w:val="0"/>
      <w:divBdr>
        <w:top w:val="none" w:sz="0" w:space="0" w:color="auto"/>
        <w:left w:val="none" w:sz="0" w:space="0" w:color="auto"/>
        <w:bottom w:val="none" w:sz="0" w:space="0" w:color="auto"/>
        <w:right w:val="none" w:sz="0" w:space="0" w:color="auto"/>
      </w:divBdr>
    </w:div>
    <w:div w:id="1579051443">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44432639">
      <w:bodyDiv w:val="1"/>
      <w:marLeft w:val="0"/>
      <w:marRight w:val="0"/>
      <w:marTop w:val="0"/>
      <w:marBottom w:val="0"/>
      <w:divBdr>
        <w:top w:val="none" w:sz="0" w:space="0" w:color="auto"/>
        <w:left w:val="none" w:sz="0" w:space="0" w:color="auto"/>
        <w:bottom w:val="none" w:sz="0" w:space="0" w:color="auto"/>
        <w:right w:val="none" w:sz="0" w:space="0" w:color="auto"/>
      </w:divBdr>
      <w:divsChild>
        <w:div w:id="1207912876">
          <w:marLeft w:val="2794"/>
          <w:marRight w:val="0"/>
          <w:marTop w:val="60"/>
          <w:marBottom w:val="0"/>
          <w:divBdr>
            <w:top w:val="none" w:sz="0" w:space="0" w:color="auto"/>
            <w:left w:val="none" w:sz="0" w:space="0" w:color="auto"/>
            <w:bottom w:val="none" w:sz="0" w:space="0" w:color="auto"/>
            <w:right w:val="none" w:sz="0" w:space="0" w:color="auto"/>
          </w:divBdr>
        </w:div>
      </w:divsChild>
    </w:div>
    <w:div w:id="1694113982">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751540614">
      <w:bodyDiv w:val="1"/>
      <w:marLeft w:val="0"/>
      <w:marRight w:val="0"/>
      <w:marTop w:val="0"/>
      <w:marBottom w:val="0"/>
      <w:divBdr>
        <w:top w:val="none" w:sz="0" w:space="0" w:color="auto"/>
        <w:left w:val="none" w:sz="0" w:space="0" w:color="auto"/>
        <w:bottom w:val="none" w:sz="0" w:space="0" w:color="auto"/>
        <w:right w:val="none" w:sz="0" w:space="0" w:color="auto"/>
      </w:divBdr>
      <w:divsChild>
        <w:div w:id="355009706">
          <w:marLeft w:val="547"/>
          <w:marRight w:val="0"/>
          <w:marTop w:val="60"/>
          <w:marBottom w:val="0"/>
          <w:divBdr>
            <w:top w:val="none" w:sz="0" w:space="0" w:color="auto"/>
            <w:left w:val="none" w:sz="0" w:space="0" w:color="auto"/>
            <w:bottom w:val="none" w:sz="0" w:space="0" w:color="auto"/>
            <w:right w:val="none" w:sz="0" w:space="0" w:color="auto"/>
          </w:divBdr>
        </w:div>
      </w:divsChild>
    </w:div>
    <w:div w:id="1807971706">
      <w:bodyDiv w:val="1"/>
      <w:marLeft w:val="0"/>
      <w:marRight w:val="0"/>
      <w:marTop w:val="0"/>
      <w:marBottom w:val="0"/>
      <w:divBdr>
        <w:top w:val="none" w:sz="0" w:space="0" w:color="auto"/>
        <w:left w:val="none" w:sz="0" w:space="0" w:color="auto"/>
        <w:bottom w:val="none" w:sz="0" w:space="0" w:color="auto"/>
        <w:right w:val="none" w:sz="0" w:space="0" w:color="auto"/>
      </w:divBdr>
      <w:divsChild>
        <w:div w:id="12584700">
          <w:marLeft w:val="2794"/>
          <w:marRight w:val="0"/>
          <w:marTop w:val="60"/>
          <w:marBottom w:val="0"/>
          <w:divBdr>
            <w:top w:val="none" w:sz="0" w:space="0" w:color="auto"/>
            <w:left w:val="none" w:sz="0" w:space="0" w:color="auto"/>
            <w:bottom w:val="none" w:sz="0" w:space="0" w:color="auto"/>
            <w:right w:val="none" w:sz="0" w:space="0" w:color="auto"/>
          </w:divBdr>
        </w:div>
      </w:divsChild>
    </w:div>
    <w:div w:id="1816340237">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870143466">
      <w:bodyDiv w:val="1"/>
      <w:marLeft w:val="0"/>
      <w:marRight w:val="0"/>
      <w:marTop w:val="0"/>
      <w:marBottom w:val="0"/>
      <w:divBdr>
        <w:top w:val="none" w:sz="0" w:space="0" w:color="auto"/>
        <w:left w:val="none" w:sz="0" w:space="0" w:color="auto"/>
        <w:bottom w:val="none" w:sz="0" w:space="0" w:color="auto"/>
        <w:right w:val="none" w:sz="0" w:space="0" w:color="auto"/>
      </w:divBdr>
    </w:div>
    <w:div w:id="1876384655">
      <w:bodyDiv w:val="1"/>
      <w:marLeft w:val="0"/>
      <w:marRight w:val="0"/>
      <w:marTop w:val="0"/>
      <w:marBottom w:val="0"/>
      <w:divBdr>
        <w:top w:val="none" w:sz="0" w:space="0" w:color="auto"/>
        <w:left w:val="none" w:sz="0" w:space="0" w:color="auto"/>
        <w:bottom w:val="none" w:sz="0" w:space="0" w:color="auto"/>
        <w:right w:val="none" w:sz="0" w:space="0" w:color="auto"/>
      </w:divBdr>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55555678">
      <w:bodyDiv w:val="1"/>
      <w:marLeft w:val="0"/>
      <w:marRight w:val="0"/>
      <w:marTop w:val="0"/>
      <w:marBottom w:val="0"/>
      <w:divBdr>
        <w:top w:val="none" w:sz="0" w:space="0" w:color="auto"/>
        <w:left w:val="none" w:sz="0" w:space="0" w:color="auto"/>
        <w:bottom w:val="none" w:sz="0" w:space="0" w:color="auto"/>
        <w:right w:val="none" w:sz="0" w:space="0" w:color="auto"/>
      </w:divBdr>
      <w:divsChild>
        <w:div w:id="1731538636">
          <w:marLeft w:val="360"/>
          <w:marRight w:val="0"/>
          <w:marTop w:val="200"/>
          <w:marBottom w:val="0"/>
          <w:divBdr>
            <w:top w:val="none" w:sz="0" w:space="0" w:color="auto"/>
            <w:left w:val="none" w:sz="0" w:space="0" w:color="auto"/>
            <w:bottom w:val="none" w:sz="0" w:space="0" w:color="auto"/>
            <w:right w:val="none" w:sz="0" w:space="0" w:color="auto"/>
          </w:divBdr>
        </w:div>
        <w:div w:id="1978990804">
          <w:marLeft w:val="1080"/>
          <w:marRight w:val="0"/>
          <w:marTop w:val="100"/>
          <w:marBottom w:val="0"/>
          <w:divBdr>
            <w:top w:val="none" w:sz="0" w:space="0" w:color="auto"/>
            <w:left w:val="none" w:sz="0" w:space="0" w:color="auto"/>
            <w:bottom w:val="none" w:sz="0" w:space="0" w:color="auto"/>
            <w:right w:val="none" w:sz="0" w:space="0" w:color="auto"/>
          </w:divBdr>
        </w:div>
        <w:div w:id="2016565578">
          <w:marLeft w:val="1080"/>
          <w:marRight w:val="0"/>
          <w:marTop w:val="100"/>
          <w:marBottom w:val="0"/>
          <w:divBdr>
            <w:top w:val="none" w:sz="0" w:space="0" w:color="auto"/>
            <w:left w:val="none" w:sz="0" w:space="0" w:color="auto"/>
            <w:bottom w:val="none" w:sz="0" w:space="0" w:color="auto"/>
            <w:right w:val="none" w:sz="0" w:space="0" w:color="auto"/>
          </w:divBdr>
        </w:div>
        <w:div w:id="1114865389">
          <w:marLeft w:val="1080"/>
          <w:marRight w:val="0"/>
          <w:marTop w:val="100"/>
          <w:marBottom w:val="0"/>
          <w:divBdr>
            <w:top w:val="none" w:sz="0" w:space="0" w:color="auto"/>
            <w:left w:val="none" w:sz="0" w:space="0" w:color="auto"/>
            <w:bottom w:val="none" w:sz="0" w:space="0" w:color="auto"/>
            <w:right w:val="none" w:sz="0" w:space="0" w:color="auto"/>
          </w:divBdr>
        </w:div>
      </w:divsChild>
    </w:div>
    <w:div w:id="1980449706">
      <w:bodyDiv w:val="1"/>
      <w:marLeft w:val="0"/>
      <w:marRight w:val="0"/>
      <w:marTop w:val="0"/>
      <w:marBottom w:val="0"/>
      <w:divBdr>
        <w:top w:val="none" w:sz="0" w:space="0" w:color="auto"/>
        <w:left w:val="none" w:sz="0" w:space="0" w:color="auto"/>
        <w:bottom w:val="none" w:sz="0" w:space="0" w:color="auto"/>
        <w:right w:val="none" w:sz="0" w:space="0" w:color="auto"/>
      </w:divBdr>
      <w:divsChild>
        <w:div w:id="1452481811">
          <w:marLeft w:val="547"/>
          <w:marRight w:val="0"/>
          <w:marTop w:val="60"/>
          <w:marBottom w:val="0"/>
          <w:divBdr>
            <w:top w:val="none" w:sz="0" w:space="0" w:color="auto"/>
            <w:left w:val="none" w:sz="0" w:space="0" w:color="auto"/>
            <w:bottom w:val="none" w:sz="0" w:space="0" w:color="auto"/>
            <w:right w:val="none" w:sz="0" w:space="0" w:color="auto"/>
          </w:divBdr>
        </w:div>
        <w:div w:id="1845125925">
          <w:marLeft w:val="1123"/>
          <w:marRight w:val="0"/>
          <w:marTop w:val="60"/>
          <w:marBottom w:val="0"/>
          <w:divBdr>
            <w:top w:val="none" w:sz="0" w:space="0" w:color="auto"/>
            <w:left w:val="none" w:sz="0" w:space="0" w:color="auto"/>
            <w:bottom w:val="none" w:sz="0" w:space="0" w:color="auto"/>
            <w:right w:val="none" w:sz="0" w:space="0" w:color="auto"/>
          </w:divBdr>
        </w:div>
        <w:div w:id="1788041557">
          <w:marLeft w:val="547"/>
          <w:marRight w:val="0"/>
          <w:marTop w:val="60"/>
          <w:marBottom w:val="0"/>
          <w:divBdr>
            <w:top w:val="none" w:sz="0" w:space="0" w:color="auto"/>
            <w:left w:val="none" w:sz="0" w:space="0" w:color="auto"/>
            <w:bottom w:val="none" w:sz="0" w:space="0" w:color="auto"/>
            <w:right w:val="none" w:sz="0" w:space="0" w:color="auto"/>
          </w:divBdr>
        </w:div>
        <w:div w:id="1935169714">
          <w:marLeft w:val="1123"/>
          <w:marRight w:val="0"/>
          <w:marTop w:val="6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31954114">
      <w:bodyDiv w:val="1"/>
      <w:marLeft w:val="0"/>
      <w:marRight w:val="0"/>
      <w:marTop w:val="0"/>
      <w:marBottom w:val="0"/>
      <w:divBdr>
        <w:top w:val="none" w:sz="0" w:space="0" w:color="auto"/>
        <w:left w:val="none" w:sz="0" w:space="0" w:color="auto"/>
        <w:bottom w:val="none" w:sz="0" w:space="0" w:color="auto"/>
        <w:right w:val="none" w:sz="0" w:space="0" w:color="auto"/>
      </w:divBdr>
    </w:div>
    <w:div w:id="2053996475">
      <w:bodyDiv w:val="1"/>
      <w:marLeft w:val="0"/>
      <w:marRight w:val="0"/>
      <w:marTop w:val="0"/>
      <w:marBottom w:val="0"/>
      <w:divBdr>
        <w:top w:val="none" w:sz="0" w:space="0" w:color="auto"/>
        <w:left w:val="none" w:sz="0" w:space="0" w:color="auto"/>
        <w:bottom w:val="none" w:sz="0" w:space="0" w:color="auto"/>
        <w:right w:val="none" w:sz="0" w:space="0" w:color="auto"/>
      </w:divBdr>
    </w:div>
    <w:div w:id="2054621837">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4B8DFE-E9F6-4DB9-90F4-EFBEB3650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4.xml><?xml version="1.0" encoding="utf-8"?>
<ds:datastoreItem xmlns:ds="http://schemas.openxmlformats.org/officeDocument/2006/customXml" ds:itemID="{4E4C44FF-DD4E-490F-8122-7C27094F0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7198</TotalTime>
  <Pages>7</Pages>
  <Words>2965</Words>
  <Characters>15719</Characters>
  <Application>Microsoft Office Word</Application>
  <DocSecurity>0</DocSecurity>
  <Lines>130</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Lars Lindbom</dc:creator>
  <cp:keywords>3GPP; Ericsson; TDoc</cp:keywords>
  <cp:lastModifiedBy>Sebastian Faxér</cp:lastModifiedBy>
  <cp:revision>1036</cp:revision>
  <cp:lastPrinted>2008-01-31T15:09:00Z</cp:lastPrinted>
  <dcterms:created xsi:type="dcterms:W3CDTF">2018-09-28T14:32:00Z</dcterms:created>
  <dcterms:modified xsi:type="dcterms:W3CDTF">2019-03-29T22:19:00Z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ecebf461-60ba-460c-b7ec-e65364ab5743</vt:lpwstr>
  </property>
  <property fmtid="{D5CDD505-2E9C-101B-9397-08002B2CF9AE}" pid="4" name="ContentTypeId">
    <vt:lpwstr>0x010100F3E9551B3FDDA24EBF0A209BAAD637CA</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AuthorIds_UIVersion_6">
    <vt:lpwstr>97</vt:lpwstr>
  </property>
  <property fmtid="{D5CDD505-2E9C-101B-9397-08002B2CF9AE}" pid="15" name="AuthorIds_UIVersion_14">
    <vt:lpwstr>97</vt:lpwstr>
  </property>
</Properties>
</file>